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480" w:lineRule="auto"/>
        <w:jc w:val="center"/>
        <w:rPr>
          <w:rFonts w:ascii="Times New Roman" w:hAnsi="Times New Roman"/>
          <w:b/>
          <w:sz w:val="36"/>
          <w:szCs w:val="36"/>
        </w:rPr>
      </w:pPr>
      <w:bookmarkStart w:id="0" w:name="_Hlk145724898"/>
      <w:bookmarkEnd w:id="0"/>
      <w:r>
        <w:rPr>
          <w:rFonts w:ascii="Times New Roman" w:hAnsi="Times New Roman"/>
          <w:b/>
          <w:sz w:val="28"/>
          <w:szCs w:val="22"/>
        </w:rPr>
        <w:drawing>
          <wp:anchor distT="0" distB="0" distL="114300" distR="114300" simplePos="0" relativeHeight="251662336" behindDoc="0" locked="0" layoutInCell="1" allowOverlap="1">
            <wp:simplePos x="0" y="0"/>
            <wp:positionH relativeFrom="margin">
              <wp:posOffset>2225675</wp:posOffset>
            </wp:positionH>
            <wp:positionV relativeFrom="paragraph">
              <wp:posOffset>0</wp:posOffset>
            </wp:positionV>
            <wp:extent cx="1200785" cy="1233170"/>
            <wp:effectExtent l="0" t="0" r="0"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l="17497" t="13306" r="25604" b="18665"/>
                    <a:stretch>
                      <a:fillRect/>
                    </a:stretch>
                  </pic:blipFill>
                  <pic:spPr>
                    <a:xfrm>
                      <a:off x="0" y="0"/>
                      <a:ext cx="1200785" cy="1233170"/>
                    </a:xfrm>
                    <a:prstGeom prst="rect">
                      <a:avLst/>
                    </a:prstGeom>
                    <a:noFill/>
                  </pic:spPr>
                </pic:pic>
              </a:graphicData>
            </a:graphic>
          </wp:anchor>
        </w:drawing>
      </w:r>
      <w:r>
        <w:rPr>
          <w:rFonts w:ascii="Times New Roman" w:hAnsi="Times New Roman"/>
          <w:b/>
          <w:sz w:val="36"/>
          <w:szCs w:val="36"/>
        </w:rPr>
        <w:t>UNIVERSIDAD RICARDO PALMA</w:t>
      </w:r>
    </w:p>
    <w:p>
      <w:pPr>
        <w:spacing w:after="160" w:line="480" w:lineRule="auto"/>
        <w:jc w:val="center"/>
        <w:rPr>
          <w:rFonts w:ascii="Times New Roman" w:hAnsi="Times New Roman"/>
          <w:sz w:val="28"/>
          <w:szCs w:val="22"/>
        </w:rPr>
      </w:pPr>
      <w:r>
        <w:rPr>
          <w:rFonts w:ascii="Times New Roman" w:hAnsi="Times New Roman"/>
          <w:sz w:val="28"/>
          <w:szCs w:val="22"/>
        </w:rPr>
        <w:t>FACULTAD DE MEDICINA HUMANA</w:t>
      </w:r>
    </w:p>
    <w:p>
      <w:pPr>
        <w:spacing w:after="160" w:line="480" w:lineRule="auto"/>
        <w:jc w:val="center"/>
        <w:rPr>
          <w:rFonts w:ascii="Times New Roman" w:hAnsi="Times New Roman"/>
          <w:sz w:val="28"/>
          <w:szCs w:val="22"/>
        </w:rPr>
      </w:pPr>
      <w:r>
        <w:rPr>
          <w:rFonts w:ascii="Times New Roman" w:hAnsi="Times New Roman"/>
          <w:sz w:val="28"/>
          <w:szCs w:val="22"/>
        </w:rPr>
        <w:t>ESCUELA PROFESIONAL DE MEDICINA HUMANA</w:t>
      </w:r>
    </w:p>
    <w:p>
      <w:pPr>
        <w:spacing w:line="360" w:lineRule="auto"/>
        <w:jc w:val="center"/>
        <w:rPr>
          <w:sz w:val="28"/>
        </w:rPr>
      </w:pPr>
      <w:r>
        <w:rPr>
          <w:rFonts w:ascii="Times New Roman" w:hAnsi="Times New Roman" w:cs="Times New Roman"/>
          <w:sz w:val="28"/>
        </w:rPr>
        <w:t>ASOCIACION ENTRE EL NIVEL DE CONOCIMIENTO DE ANEMIA FERROPENICA Y LA RESPUESTA AL TRATAMIENTO EN EL CENTRO MATERNO INFANTIL VILLA MARIA DEL TRIUNFO EN EL CONTEXTO COVID-19 ENTRE MAYO A NOVIEMBRE DEL 2021</w:t>
      </w:r>
    </w:p>
    <w:p>
      <w:pPr>
        <w:spacing w:line="480" w:lineRule="auto"/>
        <w:jc w:val="center"/>
        <w:rPr>
          <w:rFonts w:ascii="Times New Roman" w:hAnsi="Times New Roman"/>
          <w:b/>
          <w:sz w:val="28"/>
          <w:szCs w:val="22"/>
        </w:rPr>
      </w:pPr>
      <w:r>
        <w:rPr>
          <w:rFonts w:ascii="Times New Roman" w:hAnsi="Times New Roman"/>
          <w:b/>
          <w:sz w:val="28"/>
          <w:szCs w:val="22"/>
        </w:rPr>
        <w:t xml:space="preserve">TESIS </w:t>
      </w:r>
    </w:p>
    <w:p>
      <w:pPr>
        <w:spacing w:line="480" w:lineRule="auto"/>
        <w:jc w:val="center"/>
        <w:rPr>
          <w:rFonts w:ascii="Times New Roman" w:hAnsi="Times New Roman"/>
          <w:sz w:val="28"/>
          <w:szCs w:val="22"/>
        </w:rPr>
      </w:pPr>
      <w:r>
        <w:rPr>
          <w:rFonts w:ascii="Times New Roman" w:hAnsi="Times New Roman"/>
          <w:sz w:val="28"/>
          <w:szCs w:val="22"/>
        </w:rPr>
        <w:t>Para optar el título profesional de Médico Cirujano</w:t>
      </w:r>
    </w:p>
    <w:p>
      <w:pPr>
        <w:spacing w:line="480" w:lineRule="auto"/>
        <w:jc w:val="center"/>
        <w:rPr>
          <w:rFonts w:ascii="Times New Roman" w:hAnsi="Times New Roman"/>
          <w:b/>
          <w:sz w:val="28"/>
          <w:szCs w:val="22"/>
        </w:rPr>
      </w:pPr>
    </w:p>
    <w:p>
      <w:pPr>
        <w:spacing w:line="480" w:lineRule="auto"/>
        <w:jc w:val="center"/>
        <w:rPr>
          <w:rFonts w:ascii="Times New Roman" w:hAnsi="Times New Roman"/>
          <w:b/>
          <w:sz w:val="28"/>
          <w:szCs w:val="22"/>
        </w:rPr>
      </w:pPr>
      <w:r>
        <w:rPr>
          <w:rFonts w:ascii="Times New Roman" w:hAnsi="Times New Roman"/>
          <w:b/>
          <w:sz w:val="28"/>
          <w:szCs w:val="22"/>
        </w:rPr>
        <w:t>AUTOR(ES)</w:t>
      </w:r>
    </w:p>
    <w:p>
      <w:pPr>
        <w:spacing w:line="480" w:lineRule="auto"/>
        <w:jc w:val="center"/>
        <w:rPr>
          <w:rFonts w:ascii="Times New Roman" w:hAnsi="Times New Roman"/>
          <w:sz w:val="28"/>
          <w:szCs w:val="22"/>
        </w:rPr>
      </w:pPr>
      <w:r>
        <w:rPr>
          <w:rFonts w:ascii="Times New Roman" w:hAnsi="Times New Roman"/>
          <w:sz w:val="28"/>
          <w:szCs w:val="22"/>
        </w:rPr>
        <w:t>ORÉ ARCE, ANDRÉ FABRIZIO (0000-0002-1348-1136)</w:t>
      </w:r>
    </w:p>
    <w:p>
      <w:pPr>
        <w:spacing w:line="480" w:lineRule="auto"/>
        <w:jc w:val="center"/>
        <w:rPr>
          <w:rFonts w:ascii="Times New Roman" w:hAnsi="Times New Roman"/>
          <w:sz w:val="28"/>
          <w:szCs w:val="22"/>
        </w:rPr>
      </w:pPr>
    </w:p>
    <w:p>
      <w:pPr>
        <w:spacing w:line="480" w:lineRule="auto"/>
        <w:jc w:val="center"/>
        <w:rPr>
          <w:rFonts w:ascii="Times New Roman" w:hAnsi="Times New Roman"/>
          <w:b/>
          <w:sz w:val="28"/>
          <w:szCs w:val="22"/>
        </w:rPr>
      </w:pPr>
      <w:r>
        <w:rPr>
          <w:rFonts w:ascii="Times New Roman" w:hAnsi="Times New Roman"/>
          <w:b/>
          <w:sz w:val="28"/>
          <w:szCs w:val="22"/>
        </w:rPr>
        <w:t>ASESOR(ES)</w:t>
      </w:r>
    </w:p>
    <w:p>
      <w:pPr>
        <w:spacing w:line="480" w:lineRule="auto"/>
        <w:jc w:val="center"/>
        <w:rPr>
          <w:rFonts w:ascii="Times New Roman" w:hAnsi="Times New Roman"/>
          <w:sz w:val="28"/>
          <w:szCs w:val="22"/>
        </w:rPr>
      </w:pPr>
      <w:r>
        <w:rPr>
          <w:rFonts w:ascii="Times New Roman" w:hAnsi="Times New Roman"/>
          <w:sz w:val="28"/>
          <w:szCs w:val="22"/>
        </w:rPr>
        <w:t>LLANOS TEJADA, FELIX KONRAD (0000-0003-1834-1287)</w:t>
      </w:r>
    </w:p>
    <w:p>
      <w:pPr>
        <w:spacing w:line="480" w:lineRule="auto"/>
        <w:jc w:val="center"/>
        <w:rPr>
          <w:rFonts w:ascii="Times New Roman" w:hAnsi="Times New Roman"/>
          <w:b/>
          <w:sz w:val="28"/>
          <w:szCs w:val="22"/>
        </w:rPr>
      </w:pPr>
      <w:r>
        <w:rPr>
          <w:rFonts w:ascii="Times New Roman" w:hAnsi="Times New Roman"/>
          <w:b/>
          <w:sz w:val="28"/>
          <w:szCs w:val="22"/>
        </w:rPr>
        <w:t>Lima, Perú</w:t>
      </w:r>
    </w:p>
    <w:p>
      <w:pPr>
        <w:spacing w:line="480" w:lineRule="auto"/>
        <w:jc w:val="center"/>
        <w:rPr>
          <w:rFonts w:ascii="Times New Roman" w:hAnsi="Times New Roman"/>
          <w:b/>
          <w:sz w:val="28"/>
          <w:szCs w:val="22"/>
        </w:rPr>
        <w:sectPr>
          <w:pgSz w:w="12240" w:h="15840"/>
          <w:pgMar w:top="1135" w:right="1418" w:bottom="1701" w:left="1701" w:header="709" w:footer="709" w:gutter="0"/>
          <w:pgNumType w:start="1"/>
          <w:cols w:space="708" w:num="1"/>
          <w:docGrid w:linePitch="360" w:charSpace="0"/>
        </w:sectPr>
      </w:pPr>
      <w:r>
        <w:rPr>
          <w:rFonts w:ascii="Times New Roman" w:hAnsi="Times New Roman"/>
          <w:b/>
          <w:sz w:val="28"/>
          <w:szCs w:val="22"/>
        </w:rPr>
        <w:t>2023</w:t>
      </w:r>
    </w:p>
    <w:p>
      <w:pPr>
        <w:pStyle w:val="18"/>
        <w:spacing w:line="360" w:lineRule="auto"/>
        <w:jc w:val="both"/>
      </w:pPr>
    </w:p>
    <w:p>
      <w:pPr>
        <w:pStyle w:val="18"/>
        <w:spacing w:line="360" w:lineRule="auto"/>
        <w:jc w:val="both"/>
        <w:rPr>
          <w:rFonts w:ascii="Times New Roman" w:hAnsi="Times New Roman"/>
          <w:sz w:val="28"/>
        </w:rPr>
      </w:pPr>
      <w:r>
        <w:rPr>
          <w:rFonts w:ascii="Times New Roman" w:hAnsi="Times New Roman"/>
          <w:sz w:val="28"/>
        </w:rPr>
        <w:t>Metadatos Complementarios</w:t>
      </w:r>
    </w:p>
    <w:p>
      <w:pPr>
        <w:pStyle w:val="18"/>
        <w:spacing w:line="360" w:lineRule="auto"/>
        <w:jc w:val="both"/>
      </w:pPr>
    </w:p>
    <w:p>
      <w:pPr>
        <w:pStyle w:val="18"/>
        <w:spacing w:line="360" w:lineRule="auto"/>
        <w:jc w:val="both"/>
        <w:rPr>
          <w:rFonts w:ascii="Times New Roman" w:hAnsi="Times New Roman"/>
          <w:sz w:val="28"/>
        </w:rPr>
      </w:pPr>
      <w:r>
        <w:rPr>
          <w:rFonts w:ascii="Times New Roman" w:hAnsi="Times New Roman"/>
          <w:sz w:val="28"/>
        </w:rPr>
        <w:t>Datos de autor</w:t>
      </w:r>
    </w:p>
    <w:p>
      <w:pPr>
        <w:pStyle w:val="18"/>
        <w:spacing w:line="360" w:lineRule="auto"/>
        <w:jc w:val="both"/>
        <w:rPr>
          <w:rFonts w:ascii="Times New Roman" w:hAnsi="Times New Roman"/>
          <w:b w:val="0"/>
          <w:sz w:val="28"/>
        </w:rPr>
      </w:pPr>
      <w:r>
        <w:rPr>
          <w:rFonts w:ascii="Times New Roman" w:hAnsi="Times New Roman"/>
          <w:bCs/>
          <w:sz w:val="28"/>
        </w:rPr>
        <w:t>AUTOR:</w:t>
      </w:r>
      <w:r>
        <w:rPr>
          <w:rFonts w:ascii="Times New Roman" w:hAnsi="Times New Roman"/>
          <w:b w:val="0"/>
          <w:sz w:val="28"/>
        </w:rPr>
        <w:t xml:space="preserve"> Oré Arce, André Fabrizio</w:t>
      </w:r>
    </w:p>
    <w:p>
      <w:pPr>
        <w:pStyle w:val="18"/>
        <w:spacing w:line="360" w:lineRule="auto"/>
        <w:jc w:val="both"/>
        <w:rPr>
          <w:rFonts w:ascii="Times New Roman" w:hAnsi="Times New Roman"/>
          <w:b w:val="0"/>
          <w:sz w:val="28"/>
        </w:rPr>
      </w:pPr>
      <w:r>
        <w:rPr>
          <w:rFonts w:ascii="Times New Roman" w:hAnsi="Times New Roman"/>
          <w:bCs/>
          <w:sz w:val="28"/>
        </w:rPr>
        <w:t>Tipo de documento de identidad:</w:t>
      </w:r>
      <w:r>
        <w:rPr>
          <w:rFonts w:ascii="Times New Roman" w:hAnsi="Times New Roman"/>
          <w:b w:val="0"/>
          <w:sz w:val="28"/>
        </w:rPr>
        <w:t xml:space="preserve"> DNI</w:t>
      </w:r>
    </w:p>
    <w:p>
      <w:pPr>
        <w:pStyle w:val="18"/>
        <w:spacing w:line="360" w:lineRule="auto"/>
        <w:jc w:val="both"/>
        <w:rPr>
          <w:rFonts w:ascii="Times New Roman" w:hAnsi="Times New Roman"/>
          <w:b w:val="0"/>
          <w:sz w:val="28"/>
        </w:rPr>
      </w:pPr>
      <w:r>
        <w:rPr>
          <w:rFonts w:ascii="Times New Roman" w:hAnsi="Times New Roman"/>
          <w:bCs/>
          <w:sz w:val="28"/>
        </w:rPr>
        <w:t>Número de documento de identidad:</w:t>
      </w:r>
      <w:r>
        <w:rPr>
          <w:rFonts w:ascii="Times New Roman" w:hAnsi="Times New Roman"/>
          <w:b w:val="0"/>
          <w:sz w:val="28"/>
        </w:rPr>
        <w:t xml:space="preserve"> 73689591</w:t>
      </w:r>
    </w:p>
    <w:p>
      <w:pPr>
        <w:pStyle w:val="18"/>
        <w:spacing w:line="360" w:lineRule="auto"/>
        <w:jc w:val="both"/>
        <w:rPr>
          <w:rFonts w:ascii="Times New Roman" w:hAnsi="Times New Roman"/>
          <w:b w:val="0"/>
          <w:sz w:val="28"/>
        </w:rPr>
      </w:pPr>
    </w:p>
    <w:p>
      <w:pPr>
        <w:pStyle w:val="18"/>
        <w:spacing w:line="360" w:lineRule="auto"/>
        <w:jc w:val="both"/>
        <w:rPr>
          <w:rFonts w:ascii="Times New Roman" w:hAnsi="Times New Roman"/>
          <w:sz w:val="28"/>
        </w:rPr>
      </w:pPr>
      <w:r>
        <w:rPr>
          <w:rFonts w:ascii="Times New Roman" w:hAnsi="Times New Roman"/>
          <w:sz w:val="28"/>
        </w:rPr>
        <w:t>Datos de asesor</w:t>
      </w:r>
    </w:p>
    <w:p>
      <w:pPr>
        <w:pStyle w:val="18"/>
        <w:spacing w:line="360" w:lineRule="auto"/>
        <w:jc w:val="both"/>
        <w:rPr>
          <w:rFonts w:ascii="Times New Roman" w:hAnsi="Times New Roman"/>
          <w:b w:val="0"/>
          <w:sz w:val="28"/>
        </w:rPr>
      </w:pPr>
      <w:r>
        <w:rPr>
          <w:rFonts w:ascii="Times New Roman" w:hAnsi="Times New Roman"/>
          <w:bCs/>
          <w:sz w:val="28"/>
        </w:rPr>
        <w:t>ASESOR:</w:t>
      </w:r>
      <w:r>
        <w:rPr>
          <w:rFonts w:ascii="Times New Roman" w:hAnsi="Times New Roman"/>
          <w:b w:val="0"/>
          <w:sz w:val="28"/>
        </w:rPr>
        <w:t xml:space="preserve"> Llanos Tejada, Félix Konrad</w:t>
      </w:r>
    </w:p>
    <w:p>
      <w:pPr>
        <w:pStyle w:val="18"/>
        <w:spacing w:line="360" w:lineRule="auto"/>
        <w:jc w:val="both"/>
        <w:rPr>
          <w:rFonts w:ascii="Times New Roman" w:hAnsi="Times New Roman"/>
          <w:b w:val="0"/>
          <w:sz w:val="28"/>
        </w:rPr>
      </w:pPr>
      <w:r>
        <w:rPr>
          <w:rFonts w:ascii="Times New Roman" w:hAnsi="Times New Roman"/>
          <w:b w:val="0"/>
          <w:sz w:val="28"/>
        </w:rPr>
        <w:t>Tipo de documento de identidad: DNI</w:t>
      </w:r>
    </w:p>
    <w:p>
      <w:pPr>
        <w:pStyle w:val="18"/>
        <w:spacing w:line="360" w:lineRule="auto"/>
        <w:jc w:val="both"/>
        <w:rPr>
          <w:rFonts w:ascii="Times New Roman" w:hAnsi="Times New Roman"/>
          <w:b w:val="0"/>
          <w:sz w:val="28"/>
        </w:rPr>
      </w:pPr>
      <w:r>
        <w:rPr>
          <w:rFonts w:ascii="Times New Roman" w:hAnsi="Times New Roman"/>
          <w:b w:val="0"/>
          <w:sz w:val="28"/>
        </w:rPr>
        <w:t>Número de documento de identidad: 10303788</w:t>
      </w:r>
    </w:p>
    <w:p>
      <w:pPr>
        <w:pStyle w:val="18"/>
        <w:spacing w:line="360" w:lineRule="auto"/>
        <w:jc w:val="both"/>
        <w:rPr>
          <w:rFonts w:ascii="Times New Roman" w:hAnsi="Times New Roman"/>
          <w:b w:val="0"/>
          <w:sz w:val="28"/>
        </w:rPr>
      </w:pPr>
    </w:p>
    <w:p>
      <w:pPr>
        <w:pStyle w:val="18"/>
        <w:spacing w:line="360" w:lineRule="auto"/>
        <w:jc w:val="both"/>
        <w:rPr>
          <w:rFonts w:ascii="Times New Roman" w:hAnsi="Times New Roman"/>
          <w:sz w:val="28"/>
        </w:rPr>
      </w:pPr>
      <w:r>
        <w:rPr>
          <w:rFonts w:ascii="Times New Roman" w:hAnsi="Times New Roman"/>
          <w:sz w:val="28"/>
        </w:rPr>
        <w:t>Datos del jurado</w:t>
      </w:r>
    </w:p>
    <w:p>
      <w:pPr>
        <w:pStyle w:val="18"/>
        <w:spacing w:line="360" w:lineRule="auto"/>
        <w:jc w:val="both"/>
        <w:rPr>
          <w:rFonts w:ascii="Times New Roman" w:hAnsi="Times New Roman"/>
          <w:b w:val="0"/>
          <w:sz w:val="28"/>
        </w:rPr>
      </w:pPr>
      <w:r>
        <w:rPr>
          <w:rFonts w:ascii="Times New Roman" w:hAnsi="Times New Roman"/>
          <w:bCs/>
          <w:sz w:val="28"/>
        </w:rPr>
        <w:t xml:space="preserve">PRESIDENTA: </w:t>
      </w:r>
      <w:r>
        <w:rPr>
          <w:rFonts w:ascii="Times New Roman" w:hAnsi="Times New Roman"/>
          <w:b w:val="0"/>
          <w:sz w:val="28"/>
        </w:rPr>
        <w:t>Guillén Ponce, Norka Rocío</w:t>
      </w:r>
    </w:p>
    <w:p>
      <w:pPr>
        <w:pStyle w:val="18"/>
        <w:spacing w:line="360" w:lineRule="auto"/>
        <w:jc w:val="both"/>
        <w:rPr>
          <w:rFonts w:ascii="Times New Roman" w:hAnsi="Times New Roman"/>
          <w:bCs/>
          <w:sz w:val="28"/>
        </w:rPr>
      </w:pPr>
      <w:r>
        <w:rPr>
          <w:rFonts w:ascii="Times New Roman" w:hAnsi="Times New Roman"/>
          <w:bCs/>
          <w:sz w:val="28"/>
        </w:rPr>
        <w:t xml:space="preserve"> DNI: 29528228</w:t>
      </w:r>
    </w:p>
    <w:p>
      <w:pPr>
        <w:pStyle w:val="18"/>
        <w:spacing w:line="360" w:lineRule="auto"/>
        <w:jc w:val="both"/>
        <w:rPr>
          <w:rFonts w:ascii="Times New Roman" w:hAnsi="Times New Roman"/>
          <w:bCs/>
          <w:sz w:val="28"/>
        </w:rPr>
      </w:pPr>
      <w:r>
        <w:rPr>
          <w:rFonts w:ascii="Times New Roman" w:hAnsi="Times New Roman"/>
          <w:bCs/>
          <w:sz w:val="28"/>
        </w:rPr>
        <w:t xml:space="preserve">ORCID: </w:t>
      </w:r>
      <w:r>
        <w:rPr>
          <w:rFonts w:ascii="Times New Roman" w:hAnsi="Times New Roman"/>
          <w:b w:val="0"/>
          <w:sz w:val="28"/>
        </w:rPr>
        <w:t>0000-0002-559-0504</w:t>
      </w:r>
    </w:p>
    <w:p>
      <w:pPr>
        <w:pStyle w:val="18"/>
        <w:spacing w:line="360" w:lineRule="auto"/>
        <w:jc w:val="both"/>
        <w:rPr>
          <w:rFonts w:ascii="Times New Roman" w:hAnsi="Times New Roman"/>
          <w:b w:val="0"/>
          <w:sz w:val="28"/>
        </w:rPr>
      </w:pPr>
      <w:r>
        <w:rPr>
          <w:rFonts w:ascii="Times New Roman" w:hAnsi="Times New Roman"/>
          <w:bCs/>
          <w:sz w:val="28"/>
        </w:rPr>
        <w:t>MIEMBRO:</w:t>
      </w:r>
      <w:r>
        <w:rPr>
          <w:rFonts w:ascii="Times New Roman" w:hAnsi="Times New Roman"/>
          <w:b w:val="0"/>
          <w:sz w:val="28"/>
        </w:rPr>
        <w:t xml:space="preserve"> Pichardo Rodríguez, Rafael Martín de Jesús</w:t>
      </w:r>
    </w:p>
    <w:p>
      <w:pPr>
        <w:pStyle w:val="18"/>
        <w:spacing w:line="360" w:lineRule="auto"/>
        <w:jc w:val="both"/>
        <w:rPr>
          <w:rFonts w:ascii="Times New Roman" w:hAnsi="Times New Roman"/>
          <w:bCs/>
          <w:sz w:val="28"/>
        </w:rPr>
      </w:pPr>
      <w:r>
        <w:rPr>
          <w:rFonts w:ascii="Times New Roman" w:hAnsi="Times New Roman"/>
          <w:b w:val="0"/>
          <w:sz w:val="28"/>
        </w:rPr>
        <w:t xml:space="preserve"> </w:t>
      </w:r>
      <w:r>
        <w:rPr>
          <w:rFonts w:ascii="Times New Roman" w:hAnsi="Times New Roman"/>
          <w:bCs/>
          <w:sz w:val="28"/>
        </w:rPr>
        <w:t xml:space="preserve">DNI: </w:t>
      </w:r>
      <w:r>
        <w:rPr>
          <w:rFonts w:ascii="Times New Roman" w:hAnsi="Times New Roman"/>
          <w:b w:val="0"/>
          <w:sz w:val="28"/>
        </w:rPr>
        <w:t>46687078</w:t>
      </w:r>
    </w:p>
    <w:p>
      <w:pPr>
        <w:pStyle w:val="18"/>
        <w:spacing w:line="360" w:lineRule="auto"/>
        <w:jc w:val="both"/>
        <w:rPr>
          <w:rFonts w:ascii="Times New Roman" w:hAnsi="Times New Roman"/>
          <w:bCs/>
          <w:sz w:val="28"/>
        </w:rPr>
      </w:pPr>
      <w:r>
        <w:rPr>
          <w:rFonts w:ascii="Times New Roman" w:hAnsi="Times New Roman"/>
          <w:bCs/>
          <w:sz w:val="28"/>
        </w:rPr>
        <w:t xml:space="preserve">ORCID: </w:t>
      </w:r>
      <w:r>
        <w:rPr>
          <w:rFonts w:ascii="Times New Roman" w:hAnsi="Times New Roman"/>
          <w:b w:val="0"/>
          <w:sz w:val="28"/>
        </w:rPr>
        <w:t>0000-0003-3316-4557</w:t>
      </w:r>
    </w:p>
    <w:p>
      <w:pPr>
        <w:pStyle w:val="18"/>
        <w:spacing w:line="360" w:lineRule="auto"/>
        <w:jc w:val="both"/>
        <w:rPr>
          <w:rFonts w:ascii="Times New Roman" w:hAnsi="Times New Roman"/>
          <w:b w:val="0"/>
          <w:sz w:val="28"/>
        </w:rPr>
      </w:pPr>
      <w:r>
        <w:rPr>
          <w:rFonts w:ascii="Times New Roman" w:hAnsi="Times New Roman"/>
          <w:bCs/>
          <w:sz w:val="28"/>
        </w:rPr>
        <w:t>MIEMBRO:</w:t>
      </w:r>
      <w:r>
        <w:rPr>
          <w:rFonts w:ascii="Times New Roman" w:hAnsi="Times New Roman"/>
          <w:b w:val="0"/>
          <w:sz w:val="28"/>
        </w:rPr>
        <w:t xml:space="preserve"> Torres Malca, Jenny Raquel</w:t>
      </w:r>
    </w:p>
    <w:p>
      <w:pPr>
        <w:pStyle w:val="18"/>
        <w:tabs>
          <w:tab w:val="left" w:pos="1286"/>
        </w:tabs>
        <w:spacing w:line="360" w:lineRule="auto"/>
        <w:jc w:val="both"/>
        <w:rPr>
          <w:rFonts w:ascii="Times New Roman" w:hAnsi="Times New Roman"/>
          <w:bCs/>
          <w:sz w:val="28"/>
        </w:rPr>
      </w:pPr>
      <w:r>
        <w:rPr>
          <w:rFonts w:ascii="Times New Roman" w:hAnsi="Times New Roman"/>
          <w:bCs/>
          <w:sz w:val="28"/>
        </w:rPr>
        <w:t xml:space="preserve">DNI: </w:t>
      </w:r>
      <w:r>
        <w:rPr>
          <w:rFonts w:ascii="Times New Roman" w:hAnsi="Times New Roman"/>
          <w:b w:val="0"/>
          <w:sz w:val="28"/>
        </w:rPr>
        <w:t xml:space="preserve">40602320 </w:t>
      </w:r>
      <w:r>
        <w:rPr>
          <w:rFonts w:ascii="Times New Roman" w:hAnsi="Times New Roman"/>
          <w:b w:val="0"/>
          <w:sz w:val="28"/>
        </w:rPr>
        <w:tab/>
      </w:r>
    </w:p>
    <w:p>
      <w:pPr>
        <w:pStyle w:val="18"/>
        <w:spacing w:line="360" w:lineRule="auto"/>
        <w:jc w:val="both"/>
        <w:rPr>
          <w:rFonts w:ascii="Times New Roman" w:hAnsi="Times New Roman"/>
          <w:b w:val="0"/>
          <w:sz w:val="28"/>
        </w:rPr>
      </w:pPr>
      <w:r>
        <w:rPr>
          <w:rFonts w:ascii="Times New Roman" w:hAnsi="Times New Roman"/>
          <w:bCs/>
          <w:sz w:val="28"/>
        </w:rPr>
        <w:t>ORCID:</w:t>
      </w:r>
      <w:r>
        <w:rPr>
          <w:rFonts w:ascii="Times New Roman" w:hAnsi="Times New Roman"/>
          <w:b w:val="0"/>
          <w:sz w:val="28"/>
        </w:rPr>
        <w:t xml:space="preserve"> 0000-0002-7199-8475</w:t>
      </w:r>
    </w:p>
    <w:p/>
    <w:p/>
    <w:p>
      <w:pPr>
        <w:rPr>
          <w:rFonts w:ascii="Times New Roman" w:hAnsi="Times New Roman"/>
          <w:b/>
          <w:sz w:val="28"/>
          <w:szCs w:val="22"/>
        </w:rPr>
      </w:pPr>
      <w:r>
        <w:rPr>
          <w:rFonts w:ascii="Times New Roman" w:hAnsi="Times New Roman"/>
          <w:b/>
          <w:sz w:val="28"/>
          <w:szCs w:val="22"/>
        </w:rPr>
        <w:t>Datos de la investigación</w:t>
      </w:r>
    </w:p>
    <w:p/>
    <w:p>
      <w:pPr>
        <w:rPr>
          <w:rFonts w:ascii="Times New Roman" w:hAnsi="Times New Roman"/>
          <w:sz w:val="28"/>
          <w:szCs w:val="22"/>
        </w:rPr>
      </w:pPr>
      <w:r>
        <w:rPr>
          <w:rFonts w:ascii="Times New Roman" w:hAnsi="Times New Roman"/>
          <w:sz w:val="28"/>
          <w:szCs w:val="22"/>
        </w:rPr>
        <w:t>Campo del conocimiento OCDE: 3.00.00</w:t>
      </w:r>
    </w:p>
    <w:p>
      <w:pPr>
        <w:rPr>
          <w:rFonts w:ascii="Times New Roman" w:hAnsi="Times New Roman"/>
          <w:sz w:val="28"/>
          <w:szCs w:val="22"/>
        </w:rPr>
      </w:pPr>
      <w:r>
        <w:rPr>
          <w:rFonts w:ascii="Times New Roman" w:hAnsi="Times New Roman"/>
          <w:sz w:val="28"/>
          <w:szCs w:val="22"/>
        </w:rPr>
        <w:t>Código del Programa: 912016</w:t>
      </w:r>
    </w:p>
    <w:p/>
    <w:p>
      <w:pPr>
        <w:spacing w:after="60" w:line="360" w:lineRule="auto"/>
        <w:jc w:val="center"/>
        <w:rPr>
          <w:rFonts w:ascii="Times New Roman" w:hAnsi="Times New Roman"/>
          <w:b/>
          <w:bCs/>
          <w:lang w:val="es-ES"/>
        </w:rPr>
      </w:pPr>
      <w:r>
        <w:rPr>
          <w:rFonts w:ascii="Times New Roman" w:hAnsi="Times New Roman"/>
          <w:b/>
          <w:bCs/>
          <w:lang w:val="es-ES"/>
        </w:rPr>
        <w:t>DECLARACIÓN JURADA DE ORIGINALIDAD</w:t>
      </w:r>
    </w:p>
    <w:p>
      <w:pPr>
        <w:pStyle w:val="18"/>
        <w:spacing w:line="360" w:lineRule="auto"/>
        <w:jc w:val="both"/>
        <w:rPr>
          <w:rFonts w:ascii="Times New Roman" w:hAnsi="Times New Roman"/>
          <w:sz w:val="28"/>
          <w:lang w:val="es-ES"/>
        </w:rPr>
      </w:pPr>
    </w:p>
    <w:p>
      <w:pPr>
        <w:pStyle w:val="18"/>
        <w:spacing w:line="360" w:lineRule="auto"/>
        <w:jc w:val="both"/>
        <w:rPr>
          <w:rFonts w:ascii="Times New Roman" w:hAnsi="Times New Roman"/>
          <w:b w:val="0"/>
          <w:bCs/>
          <w:sz w:val="24"/>
          <w:szCs w:val="24"/>
          <w:lang w:val="es-ES"/>
        </w:rPr>
      </w:pPr>
      <w:r>
        <w:rPr>
          <w:rFonts w:ascii="Times New Roman" w:hAnsi="Times New Roman"/>
          <w:b w:val="0"/>
          <w:bCs/>
          <w:sz w:val="24"/>
          <w:szCs w:val="24"/>
          <w:lang w:val="es-ES"/>
        </w:rPr>
        <w:t>Yo, André Fabrizio Oré Arce., con código de estudiante N° 201410013, con domicilio en Av. Paseo de la Castellana 265 dep 402, distrito Santiago de Surco, provincia y departamento de Lima, en mi condición de bachiller en Medicina Humana, de la Facultad de Medicina Humana, declaro bajo juramento que:</w:t>
      </w:r>
    </w:p>
    <w:p>
      <w:pPr>
        <w:spacing w:line="360" w:lineRule="auto"/>
        <w:jc w:val="center"/>
        <w:rPr>
          <w:sz w:val="28"/>
        </w:rPr>
      </w:pPr>
      <w:r>
        <w:rPr>
          <w:rFonts w:ascii="Times New Roman" w:hAnsi="Times New Roman"/>
          <w:bCs/>
          <w:lang w:val="es-ES"/>
        </w:rPr>
        <w:t>La presente tesis titulada; “</w:t>
      </w:r>
      <w:r>
        <w:rPr>
          <w:rFonts w:ascii="Times New Roman" w:hAnsi="Times New Roman" w:cs="Times New Roman"/>
        </w:rPr>
        <w:t>Asociación entre el nivel de conocimiento de anemia ferropénica y la respuesta al tratamiento en el Centro Materno Infantil Villa María del Triunfo en el contexto COVID-19 entre Mayo a Noviembre del 2021</w:t>
      </w:r>
      <w:r>
        <w:rPr>
          <w:rFonts w:ascii="Times New Roman" w:hAnsi="Times New Roman"/>
          <w:bCs/>
          <w:lang w:val="es-ES"/>
        </w:rPr>
        <w:t>.”, es de mi única autoría, bajo el asesoramiento del docente Félix Konrad Llanos Tejada, y no existe plagio y/o copia de ninguna naturaleza, en especial de otro documento de investigación presentado por cualquier persona natural o jurídica ante cualquier institución académica o de investigación, universidad, etc; la cual ha sido sometida al antiplagio Turnitin y tiene el 23% de similitud final.</w:t>
      </w:r>
    </w:p>
    <w:p>
      <w:pPr>
        <w:pStyle w:val="18"/>
        <w:spacing w:line="360" w:lineRule="auto"/>
        <w:jc w:val="both"/>
        <w:rPr>
          <w:rFonts w:ascii="Times New Roman" w:hAnsi="Times New Roman"/>
          <w:b w:val="0"/>
          <w:bCs/>
          <w:sz w:val="24"/>
          <w:szCs w:val="24"/>
          <w:lang w:val="es-ES"/>
        </w:rPr>
      </w:pPr>
      <w:r>
        <w:rPr>
          <w:rFonts w:ascii="Times New Roman" w:hAnsi="Times New Roman"/>
          <w:b w:val="0"/>
          <w:bCs/>
          <w:sz w:val="24"/>
          <w:szCs w:val="24"/>
          <w:lang w:val="es-ES"/>
        </w:rPr>
        <w:t>Dejo constancia que las citas de otros autores han sido debidamente identificadas en la tesis, el contenido de estas corresponde a las opiniones de ellos, y por las cuales no asumo responsabilidad, ya sean de fuentes encontradas en medios escritos, digitales o de internet.</w:t>
      </w:r>
    </w:p>
    <w:p>
      <w:pPr>
        <w:pStyle w:val="18"/>
        <w:spacing w:line="360" w:lineRule="auto"/>
        <w:jc w:val="both"/>
        <w:rPr>
          <w:rFonts w:ascii="Times New Roman" w:hAnsi="Times New Roman"/>
          <w:b w:val="0"/>
          <w:bCs/>
          <w:sz w:val="24"/>
          <w:szCs w:val="24"/>
          <w:lang w:val="es-ES"/>
        </w:rPr>
      </w:pPr>
      <w:r>
        <w:rPr>
          <w:rFonts w:ascii="Times New Roman" w:hAnsi="Times New Roman"/>
          <w:b w:val="0"/>
          <w:bCs/>
          <w:sz w:val="24"/>
          <w:szCs w:val="24"/>
          <w:lang w:val="es-ES"/>
        </w:rPr>
        <w:t>Asimismo, ratifico plenamente que el contenido íntegro de la tesis es de mi conocimiento y autoría. Por tal motivo, asumo toda la responsabilidad de cualquier error u omisión en la tesis y soy consciente de las connotaciones éticas y legales involucradas.</w:t>
      </w:r>
    </w:p>
    <w:p>
      <w:pPr>
        <w:pStyle w:val="18"/>
        <w:spacing w:line="360" w:lineRule="auto"/>
        <w:jc w:val="both"/>
        <w:rPr>
          <w:rFonts w:ascii="Times New Roman" w:hAnsi="Times New Roman"/>
          <w:b w:val="0"/>
          <w:bCs/>
          <w:sz w:val="24"/>
          <w:szCs w:val="24"/>
          <w:lang w:val="es-ES"/>
        </w:rPr>
      </w:pPr>
      <w:r>
        <w:rPr>
          <w:rFonts w:ascii="Times New Roman" w:hAnsi="Times New Roman"/>
          <w:b w:val="0"/>
          <w:bCs/>
          <w:sz w:val="24"/>
          <w:szCs w:val="24"/>
          <w:lang w:val="es-ES"/>
        </w:rPr>
        <w:t xml:space="preserve">En caso de falsa declaración, me someto a lo dispuesto en las normas de la Universidad Ricardo Palma y a los dispositivos legales nacionales vigentes. </w:t>
      </w:r>
    </w:p>
    <w:p>
      <w:pPr>
        <w:pStyle w:val="18"/>
        <w:spacing w:line="360" w:lineRule="auto"/>
        <w:jc w:val="both"/>
        <w:rPr>
          <w:rFonts w:ascii="Times New Roman" w:hAnsi="Times New Roman"/>
          <w:b w:val="0"/>
          <w:bCs/>
          <w:sz w:val="24"/>
          <w:szCs w:val="24"/>
          <w:lang w:val="es-ES"/>
        </w:rPr>
      </w:pPr>
    </w:p>
    <w:p>
      <w:pPr>
        <w:pStyle w:val="18"/>
        <w:spacing w:line="360" w:lineRule="auto"/>
        <w:jc w:val="both"/>
        <w:rPr>
          <w:rFonts w:ascii="Times New Roman" w:hAnsi="Times New Roman"/>
          <w:b w:val="0"/>
          <w:bCs/>
          <w:sz w:val="24"/>
          <w:szCs w:val="24"/>
          <w:lang w:val="es-ES"/>
        </w:rPr>
      </w:pPr>
      <w:r>
        <w:drawing>
          <wp:anchor distT="0" distB="0" distL="114300" distR="114300" simplePos="0" relativeHeight="251667456" behindDoc="1" locked="0" layoutInCell="1" allowOverlap="1">
            <wp:simplePos x="0" y="0"/>
            <wp:positionH relativeFrom="column">
              <wp:posOffset>1586865</wp:posOffset>
            </wp:positionH>
            <wp:positionV relativeFrom="paragraph">
              <wp:posOffset>31115</wp:posOffset>
            </wp:positionV>
            <wp:extent cx="3457575" cy="1295400"/>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3457575" cy="1295400"/>
                    </a:xfrm>
                    <a:prstGeom prst="rect">
                      <a:avLst/>
                    </a:prstGeom>
                    <a:noFill/>
                    <a:ln>
                      <a:noFill/>
                    </a:ln>
                  </pic:spPr>
                </pic:pic>
              </a:graphicData>
            </a:graphic>
          </wp:anchor>
        </w:drawing>
      </w:r>
      <w:r>
        <w:rPr>
          <w:rFonts w:ascii="Times New Roman" w:hAnsi="Times New Roman"/>
          <w:b w:val="0"/>
          <w:bCs/>
          <w:sz w:val="24"/>
          <w:szCs w:val="24"/>
          <w:lang w:val="es-ES"/>
        </w:rPr>
        <w:t>Surco, 26 de Septiembre de 2023</w:t>
      </w:r>
    </w:p>
    <w:p>
      <w:pPr>
        <w:pStyle w:val="18"/>
        <w:spacing w:line="360" w:lineRule="auto"/>
        <w:jc w:val="both"/>
        <w:rPr>
          <w:rFonts w:ascii="Times New Roman" w:hAnsi="Times New Roman"/>
          <w:b w:val="0"/>
          <w:bCs/>
          <w:sz w:val="28"/>
          <w:lang w:val="es-ES"/>
        </w:rPr>
      </w:pPr>
    </w:p>
    <w:p>
      <w:pPr>
        <w:pStyle w:val="18"/>
        <w:spacing w:line="360" w:lineRule="auto"/>
        <w:jc w:val="both"/>
        <w:rPr>
          <w:rFonts w:ascii="Times New Roman" w:hAnsi="Times New Roman"/>
          <w:sz w:val="28"/>
          <w:lang w:val="es-ES"/>
        </w:rPr>
      </w:pPr>
    </w:p>
    <w:p>
      <w:pPr>
        <w:pStyle w:val="18"/>
        <w:spacing w:line="360" w:lineRule="auto"/>
        <w:jc w:val="both"/>
        <w:rPr>
          <w:rFonts w:ascii="Times New Roman" w:hAnsi="Times New Roman"/>
          <w:sz w:val="28"/>
          <w:lang w:val="es-ES"/>
        </w:rPr>
      </w:pPr>
    </w:p>
    <w:p>
      <w:pPr>
        <w:pStyle w:val="18"/>
        <w:spacing w:line="360" w:lineRule="auto"/>
        <w:ind w:left="2160" w:firstLine="720"/>
        <w:jc w:val="both"/>
        <w:rPr>
          <w:rFonts w:ascii="Times New Roman" w:hAnsi="Times New Roman"/>
          <w:sz w:val="28"/>
          <w:lang w:val="es-ES"/>
        </w:rPr>
      </w:pPr>
      <w:r>
        <w:rPr>
          <w:rFonts w:ascii="Times New Roman" w:hAnsi="Times New Roman"/>
          <w:sz w:val="28"/>
          <w:lang w:val="es-ES"/>
        </w:rPr>
        <w:t>______________________________</w:t>
      </w:r>
    </w:p>
    <w:p>
      <w:pPr>
        <w:pStyle w:val="18"/>
        <w:spacing w:line="360" w:lineRule="auto"/>
        <w:ind w:left="2160" w:firstLine="720"/>
        <w:jc w:val="both"/>
        <w:rPr>
          <w:rFonts w:ascii="Times New Roman" w:hAnsi="Times New Roman"/>
          <w:b w:val="0"/>
          <w:bCs/>
          <w:sz w:val="24"/>
          <w:szCs w:val="24"/>
          <w:lang w:val="es-ES"/>
        </w:rPr>
      </w:pPr>
      <w:r>
        <w:rPr>
          <w:rFonts w:ascii="Times New Roman" w:hAnsi="Times New Roman"/>
          <w:b w:val="0"/>
          <w:bCs/>
          <w:sz w:val="28"/>
          <w:lang w:val="es-ES"/>
        </w:rPr>
        <w:t xml:space="preserve">        </w:t>
      </w:r>
      <w:r>
        <w:rPr>
          <w:rFonts w:ascii="Times New Roman" w:hAnsi="Times New Roman"/>
          <w:b w:val="0"/>
          <w:bCs/>
          <w:sz w:val="24"/>
          <w:szCs w:val="24"/>
          <w:lang w:val="es-ES"/>
        </w:rPr>
        <w:t>André Fabrizio Oré Arce</w:t>
      </w:r>
    </w:p>
    <w:p>
      <w:pPr>
        <w:pStyle w:val="18"/>
        <w:spacing w:line="360" w:lineRule="auto"/>
        <w:jc w:val="both"/>
        <w:rPr>
          <w:rFonts w:ascii="Times New Roman" w:hAnsi="Times New Roman"/>
          <w:b w:val="0"/>
          <w:bCs/>
          <w:sz w:val="24"/>
          <w:szCs w:val="24"/>
          <w:lang w:val="es-ES"/>
        </w:rPr>
      </w:pPr>
      <w:r>
        <w:rPr>
          <w:rFonts w:ascii="Times New Roman" w:hAnsi="Times New Roman"/>
          <w:sz w:val="24"/>
          <w:szCs w:val="24"/>
          <w:lang w:val="es-ES"/>
        </w:rPr>
        <w:tab/>
      </w:r>
      <w:r>
        <w:rPr>
          <w:rFonts w:ascii="Times New Roman" w:hAnsi="Times New Roman"/>
          <w:sz w:val="24"/>
          <w:szCs w:val="24"/>
          <w:lang w:val="es-ES"/>
        </w:rPr>
        <w:tab/>
      </w:r>
      <w:r>
        <w:rPr>
          <w:rFonts w:ascii="Times New Roman" w:hAnsi="Times New Roman"/>
          <w:sz w:val="24"/>
          <w:szCs w:val="24"/>
          <w:lang w:val="es-ES"/>
        </w:rPr>
        <w:tab/>
      </w:r>
      <w:r>
        <w:rPr>
          <w:rFonts w:ascii="Times New Roman" w:hAnsi="Times New Roman"/>
          <w:sz w:val="24"/>
          <w:szCs w:val="24"/>
          <w:lang w:val="es-ES"/>
        </w:rPr>
        <w:tab/>
      </w:r>
      <w:r>
        <w:rPr>
          <w:rFonts w:ascii="Times New Roman" w:hAnsi="Times New Roman"/>
          <w:sz w:val="24"/>
          <w:szCs w:val="24"/>
          <w:lang w:val="es-ES"/>
        </w:rPr>
        <w:t xml:space="preserve">          </w:t>
      </w:r>
      <w:r>
        <w:rPr>
          <w:rFonts w:ascii="Times New Roman" w:hAnsi="Times New Roman"/>
          <w:sz w:val="24"/>
          <w:szCs w:val="24"/>
          <w:lang w:val="es-ES"/>
        </w:rPr>
        <w:tab/>
      </w:r>
      <w:r>
        <w:rPr>
          <w:rFonts w:ascii="Times New Roman" w:hAnsi="Times New Roman"/>
          <w:sz w:val="24"/>
          <w:szCs w:val="24"/>
          <w:lang w:val="es-ES"/>
        </w:rPr>
        <w:t xml:space="preserve">      </w:t>
      </w:r>
      <w:r>
        <w:rPr>
          <w:rFonts w:ascii="Times New Roman" w:hAnsi="Times New Roman"/>
          <w:b w:val="0"/>
          <w:bCs/>
          <w:sz w:val="24"/>
          <w:szCs w:val="24"/>
          <w:lang w:val="es-ES"/>
        </w:rPr>
        <w:t>DNI 73689591</w:t>
      </w:r>
    </w:p>
    <w:p/>
    <w:p>
      <w:pPr>
        <w:spacing w:after="160" w:line="360" w:lineRule="auto"/>
        <w:jc w:val="both"/>
        <w:rPr>
          <w:rFonts w:ascii="Times New Roman" w:hAnsi="Times New Roman"/>
          <w:b/>
          <w:bCs/>
          <w:i/>
          <w:szCs w:val="22"/>
        </w:rPr>
      </w:pPr>
    </w:p>
    <w:p>
      <w:pPr>
        <w:pStyle w:val="18"/>
        <w:spacing w:line="360" w:lineRule="auto"/>
        <w:rPr>
          <w:rFonts w:ascii="Times New Roman" w:hAnsi="Times New Roman"/>
          <w:sz w:val="24"/>
          <w:szCs w:val="24"/>
          <w:lang w:val="it-IT"/>
        </w:rPr>
      </w:pPr>
      <w:r>
        <w:rPr>
          <w:rFonts w:ascii="Times New Roman" w:hAnsi="Times New Roman"/>
          <w:sz w:val="24"/>
          <w:szCs w:val="24"/>
          <w:lang w:val="it-IT"/>
        </w:rPr>
        <w:t>INFORME DE SIMILITUD DEL PROGRAMA ANTIPLAGIO TURNITIN</w:t>
      </w:r>
    </w:p>
    <w:p>
      <w:pPr>
        <w:spacing w:after="160" w:line="360" w:lineRule="auto"/>
        <w:rPr>
          <w:rFonts w:ascii="Times New Roman" w:hAnsi="Times New Roman"/>
          <w:b/>
          <w:bCs/>
          <w:i/>
          <w:szCs w:val="22"/>
        </w:rPr>
      </w:pPr>
    </w:p>
    <w:p>
      <w:pPr>
        <w:spacing w:after="160" w:line="360" w:lineRule="auto"/>
        <w:jc w:val="right"/>
        <w:rPr>
          <w:rFonts w:ascii="Times New Roman" w:hAnsi="Times New Roman"/>
          <w:b/>
          <w:bCs/>
          <w:i/>
          <w:szCs w:val="22"/>
        </w:rPr>
      </w:pPr>
      <w:r>
        <w:drawing>
          <wp:anchor distT="0" distB="0" distL="114300" distR="114300" simplePos="0" relativeHeight="251666432" behindDoc="1" locked="0" layoutInCell="1" allowOverlap="1">
            <wp:simplePos x="0" y="0"/>
            <wp:positionH relativeFrom="margin">
              <wp:align>left</wp:align>
            </wp:positionH>
            <wp:positionV relativeFrom="paragraph">
              <wp:posOffset>422275</wp:posOffset>
            </wp:positionV>
            <wp:extent cx="5641975" cy="692658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rcRect l="32043" t="19313" r="33333" b="5129"/>
                    <a:stretch>
                      <a:fillRect/>
                    </a:stretch>
                  </pic:blipFill>
                  <pic:spPr>
                    <a:xfrm>
                      <a:off x="0" y="0"/>
                      <a:ext cx="5641975" cy="6926580"/>
                    </a:xfrm>
                    <a:prstGeom prst="rect">
                      <a:avLst/>
                    </a:prstGeom>
                    <a:ln>
                      <a:noFill/>
                    </a:ln>
                  </pic:spPr>
                </pic:pic>
              </a:graphicData>
            </a:graphic>
          </wp:anchor>
        </w:drawing>
      </w: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rPr>
          <w:rFonts w:ascii="Times New Roman" w:hAnsi="Times New Roman"/>
          <w:b/>
          <w:bCs/>
          <w:i/>
          <w:szCs w:val="22"/>
        </w:rPr>
      </w:pPr>
    </w:p>
    <w:p>
      <w:pPr>
        <w:spacing w:after="160" w:line="360" w:lineRule="auto"/>
        <w:rPr>
          <w:rFonts w:ascii="Times New Roman" w:hAnsi="Times New Roman"/>
          <w:b/>
          <w:bCs/>
          <w:i/>
          <w:szCs w:val="22"/>
        </w:rPr>
      </w:pPr>
    </w:p>
    <w:p>
      <w:pPr>
        <w:spacing w:after="160" w:line="360" w:lineRule="auto"/>
        <w:jc w:val="right"/>
        <w:rPr>
          <w:rFonts w:ascii="Times New Roman" w:hAnsi="Times New Roman"/>
          <w:b/>
          <w:bCs/>
          <w:i/>
          <w:szCs w:val="22"/>
        </w:rPr>
      </w:pPr>
    </w:p>
    <w:p>
      <w:pPr>
        <w:spacing w:after="160" w:line="360" w:lineRule="auto"/>
        <w:jc w:val="right"/>
        <w:rPr>
          <w:rFonts w:ascii="Times New Roman" w:hAnsi="Times New Roman" w:cs="Times New Roman"/>
          <w:b/>
          <w:bCs/>
        </w:rPr>
      </w:pPr>
      <w:r>
        <w:rPr>
          <w:rFonts w:ascii="Times New Roman" w:hAnsi="Times New Roman"/>
          <w:b/>
          <w:bCs/>
          <w:i/>
          <w:szCs w:val="22"/>
        </w:rPr>
        <w:t>DEDICATORIA</w:t>
      </w:r>
      <w:r>
        <w:rPr>
          <w:rFonts w:ascii="Times New Roman" w:hAnsi="Times New Roman" w:cs="Times New Roman"/>
          <w:b/>
          <w:bCs/>
          <w:sz w:val="22"/>
          <w:szCs w:val="22"/>
        </w:rPr>
        <w:br w:type="textWrapping"/>
      </w:r>
    </w:p>
    <w:p>
      <w:pPr>
        <w:spacing w:line="360" w:lineRule="auto"/>
        <w:ind w:left="5664"/>
        <w:rPr>
          <w:rFonts w:ascii="Times New Roman" w:hAnsi="Times New Roman" w:cs="Times New Roman"/>
          <w:i/>
          <w:sz w:val="22"/>
        </w:rPr>
      </w:pPr>
      <w:r>
        <w:rPr>
          <w:rFonts w:ascii="Times New Roman" w:hAnsi="Times New Roman" w:cs="Times New Roman"/>
          <w:i/>
          <w:sz w:val="22"/>
        </w:rPr>
        <w:t>A mi madre, quien fue un apoyo incondicional en todo momento, nada de lo conseguido sería posible sin tu apoyo.</w:t>
      </w:r>
    </w:p>
    <w:p>
      <w:pPr>
        <w:spacing w:line="360" w:lineRule="auto"/>
        <w:ind w:left="5664"/>
        <w:rPr>
          <w:rFonts w:ascii="Times New Roman" w:hAnsi="Times New Roman" w:cs="Times New Roman"/>
          <w:i/>
          <w:sz w:val="22"/>
        </w:rPr>
      </w:pPr>
    </w:p>
    <w:p>
      <w:pPr>
        <w:spacing w:line="360" w:lineRule="auto"/>
        <w:ind w:left="5664"/>
        <w:rPr>
          <w:rFonts w:ascii="Times New Roman" w:hAnsi="Times New Roman" w:cs="Times New Roman"/>
          <w:i/>
          <w:sz w:val="22"/>
        </w:rPr>
      </w:pPr>
    </w:p>
    <w:p>
      <w:pPr>
        <w:spacing w:line="360" w:lineRule="auto"/>
        <w:ind w:left="5664"/>
        <w:rPr>
          <w:rFonts w:ascii="Times New Roman" w:hAnsi="Times New Roman" w:cs="Times New Roman"/>
          <w:i/>
          <w:sz w:val="22"/>
        </w:rPr>
      </w:pPr>
      <w:r>
        <w:rPr>
          <w:rFonts w:ascii="Times New Roman" w:hAnsi="Times New Roman" w:cs="Times New Roman"/>
          <w:i/>
          <w:sz w:val="22"/>
        </w:rPr>
        <w:t>A mi padre, quien fue paciente conmigo y trató de guiarme de la mejor manera posible.</w:t>
      </w:r>
    </w:p>
    <w:p>
      <w:pPr>
        <w:spacing w:line="360" w:lineRule="auto"/>
        <w:ind w:left="5664"/>
        <w:rPr>
          <w:rFonts w:ascii="Times New Roman" w:hAnsi="Times New Roman" w:cs="Times New Roman"/>
          <w:i/>
          <w:sz w:val="22"/>
        </w:rPr>
      </w:pPr>
    </w:p>
    <w:p>
      <w:pPr>
        <w:spacing w:line="360" w:lineRule="auto"/>
        <w:ind w:left="5664"/>
        <w:rPr>
          <w:rFonts w:ascii="Times New Roman" w:hAnsi="Times New Roman" w:cs="Times New Roman"/>
          <w:i/>
          <w:sz w:val="22"/>
        </w:rPr>
      </w:pPr>
    </w:p>
    <w:p>
      <w:pPr>
        <w:spacing w:line="360" w:lineRule="auto"/>
        <w:ind w:left="5664"/>
        <w:rPr>
          <w:rFonts w:ascii="Times New Roman" w:hAnsi="Times New Roman" w:cs="Times New Roman"/>
          <w:i/>
          <w:sz w:val="22"/>
        </w:rPr>
      </w:pPr>
      <w:r>
        <w:rPr>
          <w:rFonts w:ascii="Times New Roman" w:hAnsi="Times New Roman" w:cs="Times New Roman"/>
          <w:i/>
          <w:sz w:val="22"/>
        </w:rPr>
        <w:t>A mis hermanos Martín y Katty, quienes me apoyaron desde niño y me motivaron a crecer.</w:t>
      </w:r>
    </w:p>
    <w:p>
      <w:pPr>
        <w:spacing w:line="360" w:lineRule="auto"/>
        <w:ind w:left="5664"/>
        <w:rPr>
          <w:rFonts w:ascii="Times New Roman" w:hAnsi="Times New Roman" w:cs="Times New Roman"/>
          <w:i/>
          <w:sz w:val="22"/>
        </w:rPr>
      </w:pPr>
    </w:p>
    <w:p>
      <w:pPr>
        <w:spacing w:line="360" w:lineRule="auto"/>
        <w:ind w:left="5664"/>
        <w:rPr>
          <w:rFonts w:ascii="Times New Roman" w:hAnsi="Times New Roman" w:cs="Times New Roman"/>
          <w:i/>
          <w:sz w:val="22"/>
        </w:rPr>
      </w:pPr>
    </w:p>
    <w:p>
      <w:pPr>
        <w:spacing w:after="60" w:line="360" w:lineRule="auto"/>
        <w:rPr>
          <w:rFonts w:ascii="Times New Roman" w:hAnsi="Times New Roman"/>
          <w:sz w:val="28"/>
        </w:rPr>
      </w:pPr>
    </w:p>
    <w:p>
      <w:pPr>
        <w:spacing w:after="60" w:line="360" w:lineRule="auto"/>
        <w:jc w:val="center"/>
        <w:rPr>
          <w:rFonts w:ascii="Times New Roman" w:hAnsi="Times New Roman"/>
          <w:b/>
          <w:bCs/>
        </w:rPr>
      </w:pPr>
      <w:r>
        <w:rPr>
          <w:rFonts w:ascii="Times New Roman" w:hAnsi="Times New Roman"/>
          <w:b/>
          <w:bCs/>
        </w:rPr>
        <w:t>AGRADECIMIENTOS</w:t>
      </w:r>
    </w:p>
    <w:p>
      <w:pPr>
        <w:jc w:val="center"/>
      </w:pPr>
    </w:p>
    <w:p>
      <w:pPr>
        <w:spacing w:after="160" w:line="360" w:lineRule="auto"/>
        <w:jc w:val="both"/>
        <w:rPr>
          <w:rFonts w:ascii="Times New Roman" w:hAnsi="Times New Roman"/>
          <w:szCs w:val="22"/>
        </w:rPr>
      </w:pPr>
      <w:r>
        <w:rPr>
          <w:rFonts w:ascii="Times New Roman" w:hAnsi="Times New Roman"/>
          <w:szCs w:val="22"/>
        </w:rPr>
        <w:t>A Dios, por darme la fortaleza para continuar y afrontar a las adversidades que se presentaron en mi camino y permitirme la posibilidad de darle vuelta a las malas situaciones.</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 mis padres Rosa y Henry por cada consejo y apoyo dado durante mi estancia en la carrera; por enseñarme a seguir adelante pese a las adversidades e inculcarme buenos valores.</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 mis hermanos, por motivarme y ser ejemplo de vida.</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Al Dr. Jhony A. De La Cruz Vargas, por inculcarnos el aprecio a la investigación y por permitir a los estudiantes contribuir a la investigación en medicina.</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 mi asesor Dr. Félix Llanos Tejada, por el tiempo, apoyo y dedicación durante la elaboración de la tesis.</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 la Dra Norka Rocío Guillen Ponce, por sus enseñanzas durante los años de carrera universitaria y el ejemplo brindado a favor de la comunidad.</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Al personal del Centro Materno Infantil Villa María del Triunfo por permitirme el acceso a la población e historias clínicas para poder realizar este proyecto de tesis.</w:t>
      </w:r>
    </w:p>
    <w:p>
      <w:pPr>
        <w:spacing w:after="160" w:line="360" w:lineRule="auto"/>
        <w:jc w:val="both"/>
        <w:rPr>
          <w:rFonts w:ascii="Times New Roman" w:hAnsi="Times New Roman"/>
          <w:szCs w:val="22"/>
        </w:rPr>
      </w:pPr>
    </w:p>
    <w:p>
      <w:pPr>
        <w:spacing w:after="160" w:line="360" w:lineRule="auto"/>
        <w:jc w:val="both"/>
        <w:rPr>
          <w:rFonts w:ascii="Times New Roman" w:hAnsi="Times New Roman"/>
          <w:szCs w:val="22"/>
        </w:rPr>
      </w:pPr>
      <w:r>
        <w:rPr>
          <w:rFonts w:ascii="Times New Roman" w:hAnsi="Times New Roman"/>
          <w:szCs w:val="22"/>
        </w:rPr>
        <w:t>A mí mismo, por no rendirme y confiar en mi mismo a pesar de las adversidades.</w:t>
      </w:r>
    </w:p>
    <w:p>
      <w:pPr>
        <w:pStyle w:val="18"/>
        <w:spacing w:line="360" w:lineRule="auto"/>
        <w:jc w:val="both"/>
        <w:rPr>
          <w:rFonts w:ascii="Times New Roman" w:hAnsi="Times New Roman" w:cs="Times New Roman"/>
        </w:rPr>
      </w:pPr>
    </w:p>
    <w:p>
      <w:pPr>
        <w:pStyle w:val="18"/>
        <w:spacing w:line="360" w:lineRule="auto"/>
        <w:jc w:val="both"/>
        <w:rPr>
          <w:rFonts w:ascii="Times New Roman" w:hAnsi="Times New Roman"/>
          <w:b/>
          <w:bCs/>
          <w:szCs w:val="22"/>
        </w:rPr>
      </w:pPr>
      <w:r>
        <w:rPr>
          <w:rFonts w:ascii="Times New Roman" w:hAnsi="Times New Roman"/>
          <w:b/>
          <w:bCs/>
          <w:szCs w:val="22"/>
        </w:rPr>
        <w:t>RESUMEN</w:t>
      </w:r>
    </w:p>
    <w:p>
      <w:pPr>
        <w:pStyle w:val="15"/>
        <w:spacing w:line="360" w:lineRule="auto"/>
        <w:rPr>
          <w:rFonts w:eastAsiaTheme="minorHAnsi" w:cstheme="minorBidi"/>
          <w:color w:val="auto"/>
          <w:lang w:val="es-PE" w:eastAsia="en-US"/>
        </w:rPr>
      </w:pP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Introducción:</w:t>
      </w:r>
      <w:r>
        <w:rPr>
          <w:rFonts w:ascii="Times New Roman" w:hAnsi="Times New Roman" w:eastAsiaTheme="minorHAnsi" w:cstheme="minorBidi"/>
          <w:color w:val="auto"/>
          <w:sz w:val="24"/>
          <w:lang w:val="es-PE" w:eastAsia="en-US"/>
        </w:rPr>
        <w:t xml:space="preserve"> La anemia por deficiencia de hierro es con mucho la anemia más común en todo el mundo. La anemia se puede prevenir mediante la aplicación de las estrategias de los métodos de prevención de la anemia.</w:t>
      </w: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Objetivo:</w:t>
      </w:r>
      <w:r>
        <w:rPr>
          <w:rFonts w:ascii="Times New Roman" w:hAnsi="Times New Roman" w:eastAsiaTheme="minorHAnsi" w:cstheme="minorBidi"/>
          <w:color w:val="auto"/>
          <w:sz w:val="24"/>
          <w:lang w:val="es-PE" w:eastAsia="en-US"/>
        </w:rPr>
        <w:t xml:space="preserve"> Determinar la asociación entre el nivel de conocimiento de Anemia Ferropénica y la respuesta al tratamiento de pacientes evaluados en el Centro Materno Infantil Villa María del Triunfo entre Mayo y Noviembre del 2021.</w:t>
      </w: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Métodos:</w:t>
      </w:r>
      <w:r>
        <w:rPr>
          <w:rFonts w:ascii="Times New Roman" w:hAnsi="Times New Roman" w:eastAsiaTheme="minorHAnsi" w:cstheme="minorBidi"/>
          <w:color w:val="auto"/>
          <w:sz w:val="24"/>
          <w:lang w:val="es-PE" w:eastAsia="en-US"/>
        </w:rPr>
        <w:t xml:space="preserve"> Se llevo a cabo u estudio no experimental, observacional, analítico transverso, los datos fueron analizados mediante un análisis inferencial a través de Regresión de Poisson y razones de prevalencia y sus respectivos intervalos de confianza al 95% y valor de p. </w:t>
      </w: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Resultados:</w:t>
      </w:r>
      <w:r>
        <w:rPr>
          <w:rFonts w:ascii="Times New Roman" w:hAnsi="Times New Roman" w:eastAsiaTheme="minorHAnsi" w:cstheme="minorBidi"/>
          <w:color w:val="auto"/>
          <w:sz w:val="24"/>
          <w:lang w:val="es-PE" w:eastAsia="en-US"/>
        </w:rPr>
        <w:t xml:space="preserve"> De una muestra total de 169 madres de pacientes con diagnóstico de anemia encuestadas, el 52.66% reportaron un nivel de conocimiento alto en relación con la anemia ferropénica, el 60% de paciente tuvo una buena respuesta al tratamiento. El nivel de conocimiento medio RP = 3.83 (IC95% 2.59 – 5.67, p &lt;0.005) y el nivel de conocimiento alto RP= 3.61 (IC 95% 2.49 – 5.25, p &lt; 0.005) se asociaron significativamente a la respuesta al tratamiento contra la anemia.</w:t>
      </w: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Conclusiones:</w:t>
      </w:r>
      <w:r>
        <w:rPr>
          <w:rFonts w:ascii="Times New Roman" w:hAnsi="Times New Roman" w:eastAsiaTheme="minorHAnsi" w:cstheme="minorBidi"/>
          <w:color w:val="auto"/>
          <w:sz w:val="24"/>
          <w:lang w:val="es-PE" w:eastAsia="en-US"/>
        </w:rPr>
        <w:t xml:space="preserve"> El nivel de conocimiento materno de la anemia ferropénica se asocia a la respuesta al tratamiento contra la anemia, por lo que se recomienda fomentar una mayor educación a los padres de familia con respecto a la anemia.</w:t>
      </w:r>
    </w:p>
    <w:p>
      <w:pPr>
        <w:pStyle w:val="15"/>
        <w:spacing w:line="360" w:lineRule="auto"/>
        <w:jc w:val="both"/>
        <w:rPr>
          <w:rFonts w:ascii="Times New Roman" w:hAnsi="Times New Roman" w:eastAsiaTheme="minorHAnsi" w:cstheme="minorBidi"/>
          <w:color w:val="auto"/>
          <w:sz w:val="24"/>
          <w:lang w:val="es-PE" w:eastAsia="en-US"/>
        </w:rPr>
      </w:pPr>
    </w:p>
    <w:p>
      <w:pPr>
        <w:pStyle w:val="15"/>
        <w:spacing w:line="360" w:lineRule="auto"/>
        <w:jc w:val="both"/>
        <w:rPr>
          <w:rFonts w:ascii="Times New Roman" w:hAnsi="Times New Roman" w:eastAsiaTheme="minorHAnsi" w:cstheme="minorBidi"/>
          <w:color w:val="auto"/>
          <w:sz w:val="24"/>
          <w:lang w:val="es-PE" w:eastAsia="en-US"/>
        </w:rPr>
      </w:pPr>
      <w:r>
        <w:rPr>
          <w:rFonts w:ascii="Times New Roman" w:hAnsi="Times New Roman" w:eastAsiaTheme="minorHAnsi" w:cstheme="minorBidi"/>
          <w:b/>
          <w:bCs/>
          <w:color w:val="auto"/>
          <w:sz w:val="24"/>
          <w:lang w:val="es-PE" w:eastAsia="en-US"/>
        </w:rPr>
        <w:t>Palabras clave:</w:t>
      </w:r>
      <w:r>
        <w:rPr>
          <w:rFonts w:ascii="Times New Roman" w:hAnsi="Times New Roman" w:eastAsiaTheme="minorHAnsi" w:cstheme="minorBidi"/>
          <w:color w:val="auto"/>
          <w:sz w:val="24"/>
          <w:lang w:val="es-PE" w:eastAsia="en-US"/>
        </w:rPr>
        <w:t xml:space="preserve"> Anemia, Anemia Ferropénica, Conocimiento (DeCS) </w:t>
      </w:r>
    </w:p>
    <w:p>
      <w:pPr>
        <w:rPr>
          <w:rFonts w:ascii="Times New Roman" w:hAnsi="Times New Roman" w:cs="Times New Roman"/>
          <w:color w:val="000000" w:themeColor="text1"/>
          <w:sz w:val="22"/>
          <w:szCs w:val="22"/>
          <w14:textFill>
            <w14:solidFill>
              <w14:schemeClr w14:val="tx1"/>
            </w14:solidFill>
          </w14:textFill>
        </w:rPr>
      </w:pPr>
    </w:p>
    <w:p>
      <w:pPr>
        <w:rPr>
          <w:rFonts w:ascii="Times New Roman" w:hAnsi="Times New Roman" w:cs="Times New Roman"/>
          <w:color w:val="000000" w:themeColor="text1"/>
          <w:sz w:val="22"/>
          <w:szCs w:val="22"/>
          <w14:textFill>
            <w14:solidFill>
              <w14:schemeClr w14:val="tx1"/>
            </w14:solidFill>
          </w14:textFill>
        </w:rPr>
      </w:pPr>
    </w:p>
    <w:p>
      <w:pPr>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br w:type="page"/>
      </w:r>
    </w:p>
    <w:p>
      <w:pPr>
        <w:spacing w:after="160" w:line="360" w:lineRule="auto"/>
        <w:jc w:val="center"/>
        <w:rPr>
          <w:rFonts w:ascii="Times New Roman" w:hAnsi="Times New Roman" w:cs="Times New Roman"/>
          <w:b/>
          <w:bCs/>
          <w:color w:val="000000" w:themeColor="text1"/>
          <w:lang w:val="en-US"/>
          <w14:textFill>
            <w14:solidFill>
              <w14:schemeClr w14:val="tx1"/>
            </w14:solidFill>
          </w14:textFill>
        </w:rPr>
      </w:pPr>
      <w:r>
        <w:rPr>
          <w:rFonts w:ascii="Times New Roman" w:hAnsi="Times New Roman"/>
          <w:b/>
          <w:bCs/>
          <w:szCs w:val="22"/>
          <w:lang w:val="en-US"/>
        </w:rPr>
        <w:t>ABSTRACT</w:t>
      </w:r>
      <w:r>
        <w:rPr>
          <w:rFonts w:ascii="Times New Roman" w:hAnsi="Times New Roman" w:cs="Times New Roman"/>
          <w:b/>
          <w:bCs/>
          <w:color w:val="000000" w:themeColor="text1"/>
          <w:lang w:val="en-US"/>
          <w14:textFill>
            <w14:solidFill>
              <w14:schemeClr w14:val="tx1"/>
            </w14:solidFill>
          </w14:textFill>
        </w:rPr>
        <w:br w:type="textWrapping"/>
      </w:r>
    </w:p>
    <w:p>
      <w:pPr>
        <w:spacing w:line="360" w:lineRule="auto"/>
        <w:jc w:val="both"/>
        <w:rPr>
          <w:rFonts w:ascii="Times New Roman" w:hAnsi="Times New Roman"/>
          <w:szCs w:val="22"/>
          <w:lang w:val="en-US"/>
        </w:rPr>
      </w:pPr>
      <w:r>
        <w:rPr>
          <w:rFonts w:ascii="Times New Roman" w:hAnsi="Times New Roman"/>
          <w:b/>
          <w:bCs/>
          <w:szCs w:val="22"/>
          <w:lang w:val="en-US"/>
        </w:rPr>
        <w:t>Introduction:</w:t>
      </w:r>
      <w:r>
        <w:rPr>
          <w:rFonts w:ascii="Times New Roman" w:hAnsi="Times New Roman"/>
          <w:szCs w:val="22"/>
          <w:lang w:val="en-US"/>
        </w:rPr>
        <w:t xml:space="preserve"> Introduction: Iron deficiency anemia is by far the most common anemia worldwide. Anemia can be prevented by applying strategies methods of anemia prevention. Objective: To determine the association between the level of knowledge of iron deficiency anemia and the response to treatment of patients evaluated at the </w:t>
      </w:r>
      <w:r>
        <w:rPr>
          <w:rFonts w:ascii="Times New Roman" w:hAnsi="Times New Roman"/>
          <w:lang w:val="en-US"/>
        </w:rPr>
        <w:t xml:space="preserve">Centro Materno Infantil Villa María del Triunfo </w:t>
      </w:r>
      <w:r>
        <w:rPr>
          <w:rFonts w:ascii="Times New Roman" w:hAnsi="Times New Roman"/>
          <w:szCs w:val="22"/>
          <w:lang w:val="en-US"/>
        </w:rPr>
        <w:t>between May and November 2021.</w:t>
      </w:r>
    </w:p>
    <w:p>
      <w:pPr>
        <w:spacing w:line="360" w:lineRule="auto"/>
        <w:jc w:val="both"/>
        <w:rPr>
          <w:rFonts w:ascii="Times New Roman" w:hAnsi="Times New Roman"/>
          <w:szCs w:val="22"/>
          <w:lang w:val="en-US"/>
        </w:rPr>
      </w:pPr>
      <w:r>
        <w:rPr>
          <w:rFonts w:ascii="Times New Roman" w:hAnsi="Times New Roman"/>
          <w:szCs w:val="22"/>
          <w:lang w:val="en-US"/>
        </w:rPr>
        <w:t xml:space="preserve"> </w:t>
      </w:r>
      <w:r>
        <w:rPr>
          <w:rFonts w:ascii="Times New Roman" w:hAnsi="Times New Roman"/>
          <w:b/>
          <w:bCs/>
          <w:szCs w:val="22"/>
          <w:lang w:val="en-US"/>
        </w:rPr>
        <w:t>Methods:</w:t>
      </w:r>
      <w:r>
        <w:rPr>
          <w:rFonts w:ascii="Times New Roman" w:hAnsi="Times New Roman"/>
          <w:szCs w:val="22"/>
          <w:lang w:val="en-US"/>
        </w:rPr>
        <w:t xml:space="preserve"> A non-experimental, observational, cross-sectional analysis was carried out, the data were analyzed by inferential analysis through Poisson regression and prevalence ratios and their respective 95% confidence intervals and p value.</w:t>
      </w:r>
    </w:p>
    <w:p>
      <w:pPr>
        <w:pStyle w:val="9"/>
        <w:spacing w:line="360" w:lineRule="auto"/>
        <w:jc w:val="both"/>
        <w:rPr>
          <w:rFonts w:ascii="Times New Roman" w:hAnsi="Times New Roman" w:eastAsiaTheme="minorHAnsi" w:cstheme="minorBidi"/>
          <w:sz w:val="24"/>
          <w:szCs w:val="22"/>
          <w:lang w:val="en-US" w:eastAsia="en-US"/>
        </w:rPr>
      </w:pPr>
      <w:r>
        <w:rPr>
          <w:rFonts w:ascii="Times New Roman" w:hAnsi="Times New Roman" w:eastAsiaTheme="minorHAnsi" w:cstheme="minorBidi"/>
          <w:b/>
          <w:bCs/>
          <w:sz w:val="24"/>
          <w:szCs w:val="22"/>
          <w:lang w:val="en-US" w:eastAsia="en-US"/>
        </w:rPr>
        <w:t>Results:</w:t>
      </w:r>
      <w:r>
        <w:rPr>
          <w:rFonts w:ascii="Times New Roman" w:hAnsi="Times New Roman" w:eastAsiaTheme="minorHAnsi" w:cstheme="minorBidi"/>
          <w:sz w:val="24"/>
          <w:szCs w:val="22"/>
          <w:lang w:val="en-US" w:eastAsia="en-US"/>
        </w:rPr>
        <w:t xml:space="preserve"> Of a total sample of 169 mothers of patients diagnosed with anemia surveyed, 52.66% reported a high level of knowledge regarding iron-deficiency anemia, 60% of patients had a good response to treatment. Mean knowledge level RP = 3.83 (95% CI 2.59 - 5.67, p &lt;0.005) and high knowledge level RP = 3.61 (95% CI 2.49 - 5.25, p &lt; 0.005) were significantly associated with response to treatment for anemia. </w:t>
      </w:r>
    </w:p>
    <w:p>
      <w:pPr>
        <w:pStyle w:val="9"/>
        <w:spacing w:line="360" w:lineRule="auto"/>
        <w:jc w:val="both"/>
        <w:rPr>
          <w:rFonts w:ascii="Times New Roman" w:hAnsi="Times New Roman" w:eastAsiaTheme="minorHAnsi" w:cstheme="minorBidi"/>
          <w:sz w:val="24"/>
          <w:szCs w:val="22"/>
          <w:lang w:val="en-US" w:eastAsia="en-US"/>
        </w:rPr>
      </w:pPr>
      <w:r>
        <w:rPr>
          <w:rFonts w:ascii="Times New Roman" w:hAnsi="Times New Roman" w:eastAsiaTheme="minorHAnsi" w:cstheme="minorBidi"/>
          <w:b/>
          <w:bCs/>
          <w:sz w:val="24"/>
          <w:szCs w:val="22"/>
          <w:lang w:val="en-US" w:eastAsia="en-US"/>
        </w:rPr>
        <w:t>Conclusions:</w:t>
      </w:r>
      <w:r>
        <w:rPr>
          <w:rFonts w:ascii="Times New Roman" w:hAnsi="Times New Roman" w:eastAsiaTheme="minorHAnsi" w:cstheme="minorBidi"/>
          <w:sz w:val="24"/>
          <w:szCs w:val="22"/>
          <w:lang w:val="en-US" w:eastAsia="en-US"/>
        </w:rPr>
        <w:t xml:space="preserve"> The level of maternal knowledge of iron deficiency anemia is associated with the response to treatment for anemia, so it is recommended to promote greater education to parents regarding anemia. </w:t>
      </w:r>
    </w:p>
    <w:p>
      <w:pPr>
        <w:pStyle w:val="9"/>
        <w:spacing w:line="360" w:lineRule="auto"/>
        <w:jc w:val="both"/>
        <w:rPr>
          <w:rFonts w:ascii="Times New Roman" w:hAnsi="Times New Roman" w:eastAsiaTheme="minorHAnsi" w:cstheme="minorBidi"/>
          <w:sz w:val="24"/>
          <w:szCs w:val="22"/>
          <w:lang w:val="en-US" w:eastAsia="en-US"/>
        </w:rPr>
      </w:pPr>
    </w:p>
    <w:p>
      <w:pPr>
        <w:pStyle w:val="9"/>
        <w:spacing w:line="360" w:lineRule="auto"/>
        <w:jc w:val="both"/>
        <w:rPr>
          <w:rFonts w:ascii="Times New Roman" w:hAnsi="Times New Roman" w:eastAsiaTheme="minorHAnsi" w:cstheme="minorBidi"/>
          <w:sz w:val="24"/>
          <w:szCs w:val="22"/>
          <w:lang w:val="en-US" w:eastAsia="en-US"/>
        </w:rPr>
      </w:pPr>
      <w:r>
        <w:rPr>
          <w:rFonts w:ascii="Times New Roman" w:hAnsi="Times New Roman" w:eastAsiaTheme="minorHAnsi" w:cstheme="minorBidi"/>
          <w:b/>
          <w:bCs/>
          <w:sz w:val="24"/>
          <w:szCs w:val="22"/>
          <w:lang w:val="en-US" w:eastAsia="en-US"/>
        </w:rPr>
        <w:t>Keywords:</w:t>
      </w:r>
      <w:r>
        <w:rPr>
          <w:rFonts w:ascii="Times New Roman" w:hAnsi="Times New Roman" w:eastAsiaTheme="minorHAnsi" w:cstheme="minorBidi"/>
          <w:sz w:val="24"/>
          <w:szCs w:val="22"/>
          <w:lang w:val="en-US" w:eastAsia="en-US"/>
        </w:rPr>
        <w:t xml:space="preserve"> Anemia, Iron Deficiency Anemia, Knowledge (MESH)</w:t>
      </w:r>
    </w:p>
    <w:p>
      <w:pPr>
        <w:spacing w:line="360" w:lineRule="auto"/>
        <w:jc w:val="both"/>
        <w:rPr>
          <w:rFonts w:ascii="Times New Roman" w:hAnsi="Times New Roman"/>
          <w:szCs w:val="22"/>
          <w:lang w:val="en-US"/>
        </w:rPr>
      </w:pPr>
    </w:p>
    <w:p>
      <w:pPr>
        <w:spacing w:line="360" w:lineRule="auto"/>
        <w:rPr>
          <w:rFonts w:ascii="Times New Roman" w:hAnsi="Times New Roman" w:cs="Times New Roman"/>
          <w:color w:val="000000" w:themeColor="text1"/>
          <w:sz w:val="22"/>
          <w:lang w:val="en-US"/>
          <w14:textFill>
            <w14:solidFill>
              <w14:schemeClr w14:val="tx1"/>
            </w14:solidFill>
          </w14:textFill>
        </w:rPr>
      </w:pPr>
      <w:r>
        <w:rPr>
          <w:rFonts w:ascii="Times New Roman" w:hAnsi="Times New Roman" w:cs="Times New Roman"/>
          <w:color w:val="000000" w:themeColor="text1"/>
          <w:sz w:val="22"/>
          <w:lang w:val="en-US"/>
          <w14:textFill>
            <w14:solidFill>
              <w14:schemeClr w14:val="tx1"/>
            </w14:solidFill>
          </w14:textFill>
        </w:rPr>
        <w:br w:type="textWrapping"/>
      </w:r>
      <w:r>
        <w:rPr>
          <w:rFonts w:ascii="Times New Roman" w:hAnsi="Times New Roman" w:cs="Times New Roman"/>
          <w:color w:val="000000" w:themeColor="text1"/>
          <w:sz w:val="22"/>
          <w:lang w:val="en-US"/>
          <w14:textFill>
            <w14:solidFill>
              <w14:schemeClr w14:val="tx1"/>
            </w14:solidFill>
          </w14:textFill>
        </w:rPr>
        <w:br w:type="page"/>
      </w:r>
    </w:p>
    <w:p>
      <w:pPr>
        <w:spacing w:line="360" w:lineRule="auto"/>
        <w:jc w:val="both"/>
        <w:rPr>
          <w:rFonts w:ascii="Times New Roman" w:hAnsi="Times New Roman" w:cs="Times New Roman"/>
          <w:sz w:val="22"/>
          <w:szCs w:val="22"/>
          <w:lang w:val="en-US"/>
        </w:rPr>
      </w:pPr>
      <w:r>
        <w:rPr>
          <w:rStyle w:val="19"/>
          <w:rFonts w:ascii="Times New Roman" w:hAnsi="Times New Roman" w:cs="Times New Roman"/>
          <w:lang w:val="en-US"/>
        </w:rPr>
        <w:t>ÍNDICE</w:t>
      </w:r>
      <w:r>
        <w:rPr>
          <w:rFonts w:ascii="Times New Roman" w:hAnsi="Times New Roman" w:cs="Times New Roman"/>
          <w:sz w:val="22"/>
          <w:szCs w:val="22"/>
          <w:lang w:val="en-US"/>
        </w:rPr>
        <w:t xml:space="preserve"> </w:t>
      </w:r>
    </w:p>
    <w:sdt>
      <w:sdtPr>
        <w:rPr>
          <w:rFonts w:asciiTheme="minorHAnsi" w:hAnsiTheme="minorHAnsi" w:eastAsiaTheme="minorHAnsi" w:cstheme="minorBidi"/>
          <w:color w:val="auto"/>
          <w:sz w:val="24"/>
          <w:szCs w:val="24"/>
          <w:lang w:val="es-ES" w:eastAsia="en-US"/>
        </w:rPr>
        <w:id w:val="1009561785"/>
        <w:docPartObj>
          <w:docPartGallery w:val="Table of Contents"/>
          <w:docPartUnique/>
        </w:docPartObj>
      </w:sdtPr>
      <w:sdtEndPr>
        <w:rPr>
          <w:rFonts w:asciiTheme="minorHAnsi" w:hAnsiTheme="minorHAnsi" w:eastAsiaTheme="minorHAnsi" w:cstheme="minorBidi"/>
          <w:b/>
          <w:bCs/>
          <w:color w:val="auto"/>
          <w:sz w:val="24"/>
          <w:szCs w:val="24"/>
          <w:lang w:val="es-ES" w:eastAsia="en-US"/>
        </w:rPr>
      </w:sdtEndPr>
      <w:sdtContent>
        <w:p>
          <w:pPr>
            <w:pStyle w:val="29"/>
            <w:jc w:val="both"/>
          </w:pPr>
        </w:p>
        <w:p>
          <w:pPr>
            <w:pStyle w:val="12"/>
            <w:rPr>
              <w:rFonts w:eastAsiaTheme="minorEastAsia"/>
              <w:kern w:val="2"/>
              <w:sz w:val="22"/>
              <w:szCs w:val="22"/>
              <w:lang w:eastAsia="es-PE"/>
              <w14:ligatures w14:val="standardContextual"/>
            </w:rPr>
          </w:pPr>
          <w:r>
            <w:fldChar w:fldCharType="begin"/>
          </w:r>
          <w:r>
            <w:instrText xml:space="preserve"> TOC \o "1-3" \h \z \u </w:instrText>
          </w:r>
          <w:r>
            <w:fldChar w:fldCharType="separate"/>
          </w:r>
          <w:r>
            <w:fldChar w:fldCharType="begin"/>
          </w:r>
          <w:r>
            <w:instrText xml:space="preserve"> HYPERLINK \l "_Toc145737776" </w:instrText>
          </w:r>
          <w:r>
            <w:fldChar w:fldCharType="separate"/>
          </w:r>
          <w:r>
            <w:rPr>
              <w:rStyle w:val="10"/>
              <w:rFonts w:ascii="Times New Roman" w:hAnsi="Times New Roman" w:cs="Times New Roman"/>
              <w:b/>
              <w:bCs/>
              <w:lang w:val="en-US"/>
            </w:rPr>
            <w:t>INTRODUCCIÓN</w:t>
          </w:r>
          <w:r>
            <w:tab/>
          </w:r>
          <w:r>
            <w:t>1</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"_Toc145737777" </w:instrText>
          </w:r>
          <w:r>
            <w:fldChar w:fldCharType="separate"/>
          </w:r>
          <w:r>
            <w:rPr>
              <w:rStyle w:val="10"/>
              <w:rFonts w:ascii="Times New Roman" w:hAnsi="Times New Roman" w:cs="Times New Roman"/>
              <w:b/>
              <w:bCs/>
            </w:rPr>
            <w:t>CAPÍTULO I: PROBLEMA DE INVESTIGACIÓN</w:t>
          </w:r>
          <w:r>
            <w:tab/>
          </w:r>
          <w:r>
            <w:t>2</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"_Toc145737778" </w:instrText>
          </w:r>
          <w:r>
            <w:fldChar w:fldCharType="separate"/>
          </w:r>
          <w:r>
            <w:rPr>
              <w:rStyle w:val="10"/>
              <w:rFonts w:ascii="Times New Roman" w:hAnsi="Times New Roman" w:cs="Times New Roman"/>
              <w:b/>
              <w:bCs/>
            </w:rPr>
            <w:t>1.2. FORMULACIÓN DEL PROBLEMA</w:t>
          </w:r>
          <w:r>
            <w:tab/>
          </w:r>
          <w:r>
            <w:t>3</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"_Toc145737780" </w:instrText>
          </w:r>
          <w:r>
            <w:fldChar w:fldCharType="separate"/>
          </w:r>
          <w:r>
            <w:rPr>
              <w:rStyle w:val="10"/>
              <w:rFonts w:ascii="Times New Roman" w:hAnsi="Times New Roman" w:cs="Times New Roman"/>
              <w:b/>
              <w:bCs/>
            </w:rPr>
            <w:t>1.3. LINEA DE INVESTIGACIÓN NACIONAL Y DE LA URP VINCULADA</w:t>
          </w:r>
          <w:r>
            <w:tab/>
          </w:r>
          <w:r>
            <w:t>3</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"_Toc145737781" </w:instrText>
          </w:r>
          <w:r>
            <w:fldChar w:fldCharType="separate"/>
          </w:r>
          <w:r>
            <w:rPr>
              <w:rStyle w:val="10"/>
              <w:rFonts w:ascii="Times New Roman" w:hAnsi="Times New Roman" w:cs="Times New Roman"/>
              <w:b/>
              <w:bCs/>
            </w:rPr>
            <w:t>1.4 JUSTIFICACIÓN DE LA INVESTIGACIÓN</w:t>
          </w:r>
          <w:r>
            <w:tab/>
          </w:r>
          <w:r>
            <w:t>3</w:t>
          </w:r>
          <w:r>
            <w:fldChar w:fldCharType="end"/>
          </w:r>
        </w:p>
        <w:p>
          <w:pPr>
            <w:pStyle w:val="13"/>
            <w:tabs>
              <w:tab w:val="right" w:leader="dot" w:pos="8828"/>
            </w:tabs>
            <w:ind w:left="0"/>
            <w:jc w:val="both"/>
            <w:rPr>
              <w:rFonts w:eastAsiaTheme="minorEastAsia"/>
              <w:kern w:val="2"/>
              <w:sz w:val="22"/>
              <w:szCs w:val="22"/>
              <w:lang w:eastAsia="es-PE"/>
              <w14:ligatures w14:val="standardContextual"/>
            </w:rPr>
          </w:pPr>
          <w:r>
            <w:rPr>
              <w:rStyle w:val="10"/>
            </w:rPr>
            <w:t xml:space="preserve">     </w:t>
          </w:r>
          <w:r>
            <w:fldChar w:fldCharType="begin"/>
          </w:r>
          <w:r>
            <w:instrText xml:space="preserve"> HYPERLINK \l "_Toc145737787" </w:instrText>
          </w:r>
          <w:r>
            <w:fldChar w:fldCharType="separate"/>
          </w:r>
          <w:r>
            <w:rPr>
              <w:rStyle w:val="10"/>
              <w:rFonts w:ascii="Times New Roman" w:hAnsi="Times New Roman" w:cs="Times New Roman"/>
              <w:b/>
              <w:bCs/>
            </w:rPr>
            <w:t>1.5. DELIMITACION DEL PROBLEMA:</w:t>
          </w:r>
          <w:r>
            <w:tab/>
          </w:r>
          <w:r>
            <w:t>4</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"_Toc145737789" </w:instrText>
          </w:r>
          <w:r>
            <w:fldChar w:fldCharType="separate"/>
          </w:r>
          <w:r>
            <w:rPr>
              <w:rStyle w:val="10"/>
              <w:rFonts w:ascii="Times New Roman" w:hAnsi="Times New Roman" w:cs="Times New Roman"/>
              <w:b/>
              <w:bCs/>
            </w:rPr>
            <w:t>1.6 OBJETIVOS DE LA INVESTIGACIÓN</w:t>
          </w:r>
          <w:r>
            <w:tab/>
          </w:r>
          <w:r>
            <w:t>4</w:t>
          </w:r>
          <w:r>
            <w:fldChar w:fldCharType="end"/>
          </w:r>
        </w:p>
        <w:p>
          <w:pPr>
            <w:pStyle w:val="14"/>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"_Toc145737790" </w:instrText>
          </w:r>
          <w:r>
            <w:fldChar w:fldCharType="separate"/>
          </w:r>
          <w:r>
            <w:rPr>
              <w:rStyle w:val="10"/>
              <w:rFonts w:ascii="Times New Roman" w:hAnsi="Times New Roman" w:cs="Times New Roman"/>
              <w:b/>
              <w:bCs/>
            </w:rPr>
            <w:t>1.6.1. OBJETIVO GENERAL</w:t>
          </w:r>
          <w:r>
            <w:tab/>
          </w:r>
          <w:r>
            <w:t>4</w:t>
          </w:r>
          <w:r>
            <w:fldChar w:fldCharType="end"/>
          </w:r>
        </w:p>
        <w:p>
          <w:pPr>
            <w:pStyle w:val="14"/>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"_Toc145737791" </w:instrText>
          </w:r>
          <w:r>
            <w:fldChar w:fldCharType="separate"/>
          </w:r>
          <w:r>
            <w:rPr>
              <w:rStyle w:val="10"/>
              <w:rFonts w:ascii="Times New Roman" w:hAnsi="Times New Roman" w:cs="Times New Roman"/>
              <w:b/>
              <w:bCs/>
            </w:rPr>
            <w:t>1.6.2. OBJETIVOS ESPECÍFICOS</w:t>
          </w:r>
          <w:r>
            <w:tab/>
          </w:r>
          <w:r>
            <w:t>4</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"_Toc145737792" </w:instrText>
          </w:r>
          <w:r>
            <w:fldChar w:fldCharType="separate"/>
          </w:r>
          <w:r>
            <w:rPr>
              <w:rStyle w:val="10"/>
              <w:rFonts w:ascii="Times New Roman" w:hAnsi="Times New Roman" w:cs="Times New Roman"/>
              <w:b/>
              <w:bCs/>
            </w:rPr>
            <w:t>CAPÍTULO II: MARCO TEÓRICO</w:t>
          </w:r>
          <w:r>
            <w:tab/>
          </w:r>
          <w:r>
            <w:t>6</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"_Toc145737793" </w:instrText>
          </w:r>
          <w:r>
            <w:fldChar w:fldCharType="separate"/>
          </w:r>
          <w:r>
            <w:rPr>
              <w:rStyle w:val="10"/>
              <w:rFonts w:ascii="Times New Roman" w:hAnsi="Times New Roman" w:cs="Times New Roman"/>
              <w:b/>
              <w:bCs/>
            </w:rPr>
            <w:t>2.1. ANTECEDENTES DE LA INVESTIGACIÓN</w:t>
          </w:r>
          <w:r>
            <w:tab/>
          </w:r>
          <w:r>
            <w:t>6</w:t>
          </w:r>
          <w:r>
            <w:fldChar w:fldCharType="end"/>
          </w:r>
        </w:p>
        <w:p>
          <w:pPr>
            <w:pStyle w:val="14"/>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"_Toc145737794" </w:instrText>
          </w:r>
          <w:r>
            <w:fldChar w:fldCharType="separate"/>
          </w:r>
          <w:r>
            <w:rPr>
              <w:rStyle w:val="10"/>
              <w:rFonts w:ascii="Times New Roman" w:hAnsi="Times New Roman" w:cs="Times New Roman"/>
              <w:b/>
              <w:bCs/>
            </w:rPr>
            <w:t>2.1.1 Antecedentes Internacionales</w:t>
          </w:r>
          <w:r>
            <w:tab/>
          </w:r>
          <w:r>
            <w:t>6</w:t>
          </w:r>
          <w:r>
            <w:fldChar w:fldCharType="end"/>
          </w:r>
        </w:p>
        <w:p>
          <w:pPr>
            <w:pStyle w:val="14"/>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"_Toc145737796" </w:instrText>
          </w:r>
          <w:r>
            <w:fldChar w:fldCharType="separate"/>
          </w:r>
          <w:r>
            <w:rPr>
              <w:rStyle w:val="10"/>
              <w:rFonts w:ascii="Times New Roman" w:hAnsi="Times New Roman" w:eastAsia="Arial" w:cs="Times New Roman"/>
              <w:b/>
              <w:bCs/>
              <w:lang w:val="es-MX"/>
            </w:rPr>
            <w:t>2.1.2 Antecedentes Nacionales</w:t>
          </w:r>
          <w:r>
            <w:tab/>
          </w:r>
          <w:r>
            <w:t>10</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"_Toc145737797" </w:instrText>
          </w:r>
          <w:r>
            <w:fldChar w:fldCharType="separate"/>
          </w:r>
          <w:r>
            <w:rPr>
              <w:rStyle w:val="10"/>
              <w:rFonts w:ascii="Times New Roman" w:hAnsi="Times New Roman" w:cs="Times New Roman"/>
              <w:b/>
              <w:bCs/>
            </w:rPr>
            <w:t>2.2. BASES TEÓRICAS</w:t>
          </w:r>
          <w:r>
            <w:tab/>
          </w:r>
          <w:r>
            <w:t>18</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"_Toc145737798" </w:instrText>
          </w:r>
          <w:r>
            <w:fldChar w:fldCharType="separate"/>
          </w:r>
          <w:r>
            <w:rPr>
              <w:rStyle w:val="10"/>
              <w:rFonts w:ascii="Times New Roman" w:hAnsi="Times New Roman" w:cs="Times New Roman"/>
              <w:b/>
              <w:bCs/>
            </w:rPr>
            <w:t>2.3. DEFINICIÓN DE CONCEPTOS OPERACIONALES</w:t>
          </w:r>
          <w:r>
            <w:tab/>
          </w:r>
          <w:r>
            <w:t>26</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"_Toc145737799" </w:instrText>
          </w:r>
          <w:r>
            <w:fldChar w:fldCharType="separate"/>
          </w:r>
          <w:r>
            <w:rPr>
              <w:rStyle w:val="10"/>
              <w:rFonts w:ascii="Times New Roman" w:hAnsi="Times New Roman" w:cs="Times New Roman"/>
              <w:b/>
              <w:bCs/>
            </w:rPr>
            <w:t>CAPITULO III: HIPÓTESIS Y VARIABLES</w:t>
          </w:r>
          <w:r>
            <w:tab/>
          </w:r>
          <w:r>
            <w:t>27</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"_Toc145737800" </w:instrText>
          </w:r>
          <w:r>
            <w:fldChar w:fldCharType="separate"/>
          </w:r>
          <w:r>
            <w:rPr>
              <w:rStyle w:val="10"/>
              <w:rFonts w:ascii="Times New Roman" w:hAnsi="Times New Roman" w:cs="Times New Roman"/>
              <w:b/>
              <w:bCs/>
            </w:rPr>
            <w:t>3.1. HIPÓTESIS: GENERAL, ESPECÍFICAS</w:t>
          </w:r>
          <w:r>
            <w:tab/>
          </w:r>
          <w:r>
            <w:t>27</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"_Toc145737801" </w:instrText>
          </w:r>
          <w:r>
            <w:fldChar w:fldCharType="separate"/>
          </w:r>
          <w:r>
            <w:rPr>
              <w:rStyle w:val="10"/>
              <w:rFonts w:ascii="Times New Roman" w:hAnsi="Times New Roman" w:cs="Times New Roman"/>
              <w:b/>
              <w:bCs/>
            </w:rPr>
            <w:t>3.2. VARIABLES PRINCIPALES DE INVESTIGACIÓN</w:t>
          </w:r>
          <w:r>
            <w:tab/>
          </w:r>
          <w:r>
            <w:t>27</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"_Toc145737802" </w:instrText>
          </w:r>
          <w:r>
            <w:fldChar w:fldCharType="separate"/>
          </w:r>
          <w:r>
            <w:rPr>
              <w:rStyle w:val="10"/>
              <w:rFonts w:ascii="Times New Roman" w:hAnsi="Times New Roman" w:cs="Times New Roman"/>
              <w:b/>
              <w:bCs/>
            </w:rPr>
            <w:t>CAPITULO IV: METODOLOGÍA</w:t>
          </w:r>
          <w:r>
            <w:tab/>
          </w:r>
          <w:r>
            <w:t>28</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"_Toc145737803" </w:instrText>
          </w:r>
          <w:r>
            <w:fldChar w:fldCharType="separate"/>
          </w:r>
          <w:r>
            <w:rPr>
              <w:rStyle w:val="10"/>
              <w:rFonts w:ascii="Times New Roman" w:hAnsi="Times New Roman" w:cs="Times New Roman"/>
              <w:b/>
              <w:bCs/>
            </w:rPr>
            <w:t>4.1. TIPO Y DISEÑO DE INVESTIGACIÓN</w:t>
          </w:r>
          <w:r>
            <w:tab/>
          </w:r>
          <w:r>
            <w:t>28</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"_Toc145737804" </w:instrText>
          </w:r>
          <w:r>
            <w:fldChar w:fldCharType="separate"/>
          </w:r>
          <w:r>
            <w:rPr>
              <w:rStyle w:val="10"/>
              <w:rFonts w:ascii="Times New Roman" w:hAnsi="Times New Roman" w:cs="Times New Roman"/>
              <w:b/>
              <w:bCs/>
            </w:rPr>
            <w:t>4.2. POBLACIÓN Y MUESTRA</w:t>
          </w:r>
          <w:r>
            <w:tab/>
          </w:r>
          <w:r>
            <w:t>28</w:t>
          </w:r>
          <w:r>
            <w:fldChar w:fldCharType="end"/>
          </w:r>
        </w:p>
        <w:p>
          <w:pPr>
            <w:pStyle w:val="14"/>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"_Toc145737805" </w:instrText>
          </w:r>
          <w:r>
            <w:fldChar w:fldCharType="separate"/>
          </w:r>
          <w:r>
            <w:rPr>
              <w:rStyle w:val="10"/>
              <w:rFonts w:ascii="Times New Roman" w:hAnsi="Times New Roman" w:eastAsia="Arial" w:cs="Times New Roman"/>
              <w:b/>
              <w:bCs/>
              <w:lang w:val="es-MX"/>
            </w:rPr>
            <w:t>Tamaño muestral:</w:t>
          </w:r>
          <w:r>
            <w:tab/>
          </w:r>
          <w:r>
            <w:t>28</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"_Toc145737806" </w:instrText>
          </w:r>
          <w:r>
            <w:fldChar w:fldCharType="separate"/>
          </w:r>
          <w:r>
            <w:rPr>
              <w:rStyle w:val="10"/>
              <w:rFonts w:ascii="Times New Roman" w:hAnsi="Times New Roman" w:cs="Times New Roman"/>
              <w:b/>
              <w:bCs/>
            </w:rPr>
            <w:t>4.3. OPERACIONALIZACION DE VARIABLES</w:t>
          </w:r>
          <w:r>
            <w:tab/>
          </w:r>
          <w:r>
            <w:t>29</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"_Toc145737807" </w:instrText>
          </w:r>
          <w:r>
            <w:fldChar w:fldCharType="separate"/>
          </w:r>
          <w:r>
            <w:rPr>
              <w:rStyle w:val="10"/>
              <w:rFonts w:ascii="Times New Roman" w:hAnsi="Times New Roman" w:cs="Times New Roman"/>
              <w:b/>
              <w:bCs/>
            </w:rPr>
            <w:t>4.4. TÉCNICAS E INSTRUMENTOS DE RECOLECCIÓN DE DATOS</w:t>
          </w:r>
          <w:r>
            <w:tab/>
          </w:r>
          <w:r>
            <w:t>30</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"_Toc145737808" </w:instrText>
          </w:r>
          <w:r>
            <w:fldChar w:fldCharType="separate"/>
          </w:r>
          <w:r>
            <w:rPr>
              <w:rStyle w:val="10"/>
              <w:rFonts w:ascii="Times New Roman" w:hAnsi="Times New Roman" w:cs="Times New Roman"/>
              <w:b/>
              <w:bCs/>
            </w:rPr>
            <w:t>4.5. RECOLECCIÓN DE DATOS</w:t>
          </w:r>
          <w:r>
            <w:tab/>
          </w:r>
          <w:r>
            <w:t>30</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"_Toc145737809" </w:instrText>
          </w:r>
          <w:r>
            <w:fldChar w:fldCharType="separate"/>
          </w:r>
          <w:r>
            <w:rPr>
              <w:rStyle w:val="10"/>
              <w:rFonts w:ascii="Times New Roman" w:hAnsi="Times New Roman" w:cs="Times New Roman"/>
              <w:b/>
              <w:bCs/>
            </w:rPr>
            <w:t>4.6. TÉCNICA DE PROCESAMIENTO Y ANÁLISIS DE DATOS</w:t>
          </w:r>
          <w:r>
            <w:tab/>
          </w:r>
          <w:r>
            <w:t>30</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"_Toc145737810" </w:instrText>
          </w:r>
          <w:r>
            <w:fldChar w:fldCharType="separate"/>
          </w:r>
          <w:r>
            <w:rPr>
              <w:rStyle w:val="10"/>
              <w:rFonts w:ascii="Times New Roman" w:hAnsi="Times New Roman" w:cs="Times New Roman"/>
              <w:b/>
              <w:bCs/>
            </w:rPr>
            <w:t>4.7. ASPECTOS ÉTICOS</w:t>
          </w:r>
          <w:r>
            <w:tab/>
          </w:r>
          <w:r>
            <w:t>30</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"_Toc145737811" </w:instrText>
          </w:r>
          <w:r>
            <w:fldChar w:fldCharType="separate"/>
          </w:r>
          <w:r>
            <w:rPr>
              <w:rStyle w:val="10"/>
              <w:rFonts w:ascii="Times New Roman" w:hAnsi="Times New Roman" w:cs="Times New Roman"/>
              <w:b/>
              <w:bCs/>
            </w:rPr>
            <w:t>CAPITULO V: RESULTADOS Y DISCUSIÓN</w:t>
          </w:r>
          <w:r>
            <w:tab/>
          </w:r>
          <w:r>
            <w:t>31</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"_Toc145737812" </w:instrText>
          </w:r>
          <w:r>
            <w:fldChar w:fldCharType="separate"/>
          </w:r>
          <w:r>
            <w:rPr>
              <w:rStyle w:val="10"/>
              <w:rFonts w:ascii="Times New Roman" w:hAnsi="Times New Roman" w:cs="Times New Roman"/>
              <w:b/>
              <w:bCs/>
            </w:rPr>
            <w:t>5.1. RESULTADOS</w:t>
          </w:r>
          <w:r>
            <w:tab/>
          </w:r>
          <w:r>
            <w:t>31</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"_Toc145737813" </w:instrText>
          </w:r>
          <w:r>
            <w:fldChar w:fldCharType="separate"/>
          </w:r>
          <w:r>
            <w:rPr>
              <w:rStyle w:val="10"/>
              <w:rFonts w:ascii="Times New Roman" w:hAnsi="Times New Roman" w:cs="Times New Roman"/>
              <w:b/>
              <w:bCs/>
            </w:rPr>
            <w:t>5.2. DISCUSIÓN DE RESULTADOS</w:t>
          </w:r>
          <w:r>
            <w:tab/>
          </w:r>
          <w:r>
            <w:t>37</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"_Toc145737814" </w:instrText>
          </w:r>
          <w:r>
            <w:fldChar w:fldCharType="separate"/>
          </w:r>
          <w:r>
            <w:rPr>
              <w:rStyle w:val="10"/>
              <w:rFonts w:ascii="Times New Roman" w:hAnsi="Times New Roman" w:cs="Times New Roman"/>
              <w:b/>
              <w:bCs/>
            </w:rPr>
            <w:t>CAPITULO VI: CONCLUSIONES Y RECOMENDACIONES</w:t>
          </w:r>
          <w:r>
            <w:tab/>
          </w:r>
          <w:r>
            <w:t>39</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"_Toc145737815" </w:instrText>
          </w:r>
          <w:r>
            <w:fldChar w:fldCharType="separate"/>
          </w:r>
          <w:r>
            <w:rPr>
              <w:rStyle w:val="10"/>
              <w:rFonts w:ascii="Times New Roman" w:hAnsi="Times New Roman" w:cs="Times New Roman"/>
              <w:b/>
              <w:bCs/>
            </w:rPr>
            <w:t>6.1. CONCLUSIONES</w:t>
          </w:r>
          <w:r>
            <w:tab/>
          </w:r>
          <w:r>
            <w:t>39</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"_Toc145737816" </w:instrText>
          </w:r>
          <w:r>
            <w:fldChar w:fldCharType="separate"/>
          </w:r>
          <w:r>
            <w:rPr>
              <w:rStyle w:val="10"/>
              <w:rFonts w:ascii="Times New Roman" w:hAnsi="Times New Roman" w:cs="Times New Roman"/>
              <w:b/>
              <w:bCs/>
            </w:rPr>
            <w:t>6.2. RECOMENDACIONES</w:t>
          </w:r>
          <w:r>
            <w:tab/>
          </w:r>
          <w:r>
            <w:t>39</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"_Toc145737817" </w:instrText>
          </w:r>
          <w:r>
            <w:fldChar w:fldCharType="separate"/>
          </w:r>
          <w:r>
            <w:rPr>
              <w:rStyle w:val="10"/>
              <w:rFonts w:ascii="Times New Roman" w:hAnsi="Times New Roman" w:cs="Times New Roman"/>
              <w:b/>
              <w:bCs/>
            </w:rPr>
            <w:t>REFERENCIAS BIBLIOGRÁFICAS</w:t>
          </w:r>
          <w:r>
            <w:tab/>
          </w:r>
          <w:r>
            <w:t>40</w:t>
          </w:r>
          <w:r>
            <w:fldChar w:fldCharType="end"/>
          </w:r>
        </w:p>
        <w:p>
          <w:pPr>
            <w:pStyle w:val="12"/>
            <w:rPr>
              <w:rFonts w:eastAsiaTheme="minorEastAsia"/>
              <w:kern w:val="2"/>
              <w:sz w:val="22"/>
              <w:szCs w:val="22"/>
              <w:lang w:eastAsia="es-PE"/>
              <w14:ligatures w14:val="standardContextual"/>
            </w:rPr>
          </w:pPr>
          <w:r>
            <w:fldChar w:fldCharType="begin"/>
          </w:r>
          <w:r>
            <w:instrText xml:space="preserve"> HYPERLINK \l "_Toc145737818" </w:instrText>
          </w:r>
          <w:r>
            <w:fldChar w:fldCharType="separate"/>
          </w:r>
          <w:r>
            <w:rPr>
              <w:rStyle w:val="10"/>
              <w:rFonts w:ascii="Times New Roman" w:hAnsi="Times New Roman" w:cs="Times New Roman"/>
              <w:b/>
              <w:bCs/>
            </w:rPr>
            <w:t>ANEXOS</w:t>
          </w:r>
          <w:r>
            <w:tab/>
          </w:r>
          <w:r>
            <w:t>44</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"_Toc145737819" </w:instrText>
          </w:r>
          <w:r>
            <w:fldChar w:fldCharType="separate"/>
          </w:r>
          <w:r>
            <w:rPr>
              <w:rStyle w:val="10"/>
              <w:rFonts w:ascii="Times New Roman" w:hAnsi="Times New Roman" w:cs="Times New Roman"/>
              <w:b/>
              <w:bCs/>
            </w:rPr>
            <w:t>ANEXO 1: ACTA DE APROBACIÓN DEL PROYECTO DE TESIS</w:t>
          </w:r>
          <w:r>
            <w:tab/>
          </w:r>
          <w:r>
            <w:t>44</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"_Toc145737820" </w:instrText>
          </w:r>
          <w:r>
            <w:fldChar w:fldCharType="separate"/>
          </w:r>
          <w:r>
            <w:rPr>
              <w:rStyle w:val="10"/>
              <w:rFonts w:ascii="Times New Roman" w:hAnsi="Times New Roman" w:cs="Times New Roman"/>
              <w:b/>
              <w:bCs/>
            </w:rPr>
            <w:t>ANEXO 2: CARTA DE COMPROMISO DEL ASESOR DE TESIS</w:t>
          </w:r>
          <w:r>
            <w:tab/>
          </w:r>
          <w:r>
            <w:t>45</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"_Toc145737821" </w:instrText>
          </w:r>
          <w:r>
            <w:fldChar w:fldCharType="separate"/>
          </w:r>
          <w:r>
            <w:rPr>
              <w:rStyle w:val="10"/>
              <w:rFonts w:ascii="Times New Roman" w:hAnsi="Times New Roman" w:cs="Times New Roman"/>
              <w:b/>
              <w:bCs/>
            </w:rPr>
            <w:t>ANEXO 3: CARTA DE APROBACIÓN DEL PROYECTO DE TESIS, FIRMADO POR LA SECRETARÍA ACADÉMICA</w:t>
          </w:r>
          <w:r>
            <w:tab/>
          </w:r>
          <w:r>
            <w:t>46</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"_Toc145737822" </w:instrText>
          </w:r>
          <w:r>
            <w:fldChar w:fldCharType="separate"/>
          </w:r>
          <w:r>
            <w:rPr>
              <w:rStyle w:val="10"/>
              <w:rFonts w:ascii="Times New Roman" w:hAnsi="Times New Roman" w:cs="Times New Roman"/>
              <w:b/>
              <w:bCs/>
            </w:rPr>
            <w:t>ANEXO 4: CARTA DE ACEPTACIÓN DE EJECUCIÓN DE LA TESIS POR LA SEDE HOSPITALARIA CON APROBACION POR EL COMITÉ DE ETICA EN INVESTIGACIÓN</w:t>
          </w:r>
          <w:r>
            <w:tab/>
          </w:r>
          <w:r>
            <w:t>47</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"_Toc145737823" </w:instrText>
          </w:r>
          <w:r>
            <w:fldChar w:fldCharType="separate"/>
          </w:r>
          <w:r>
            <w:rPr>
              <w:rStyle w:val="10"/>
              <w:rFonts w:ascii="Times New Roman" w:hAnsi="Times New Roman" w:cs="Times New Roman"/>
              <w:b/>
              <w:bCs/>
            </w:rPr>
            <w:t>ANEXO 5: ACTA DE APROBACIÓN DEL BORRADOR DE TESIS</w:t>
          </w:r>
          <w:r>
            <w:tab/>
          </w:r>
          <w:r>
            <w:t>48</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"_Toc145737825" </w:instrText>
          </w:r>
          <w:r>
            <w:fldChar w:fldCharType="separate"/>
          </w:r>
          <w:r>
            <w:rPr>
              <w:rStyle w:val="10"/>
              <w:rFonts w:ascii="Times New Roman" w:hAnsi="Times New Roman" w:cs="Times New Roman"/>
              <w:b/>
              <w:bCs/>
            </w:rPr>
            <w:t>ANEXO 6: CERTIFICADO DE ASISTENCIA AL CURSO TALLER</w:t>
          </w:r>
          <w:r>
            <w:tab/>
          </w:r>
          <w:r>
            <w:t>49</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"_Toc145737826" </w:instrText>
          </w:r>
          <w:r>
            <w:fldChar w:fldCharType="separate"/>
          </w:r>
          <w:r>
            <w:rPr>
              <w:rStyle w:val="10"/>
              <w:rFonts w:ascii="Times New Roman" w:hAnsi="Times New Roman" w:cs="Times New Roman"/>
              <w:b/>
              <w:bCs/>
            </w:rPr>
            <w:t>ANEXO 7: MATRIZ DE CONSISTENCIA</w:t>
          </w:r>
          <w:r>
            <w:tab/>
          </w:r>
          <w:r>
            <w:t>50</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"_Toc145737827" </w:instrText>
          </w:r>
          <w:r>
            <w:fldChar w:fldCharType="separate"/>
          </w:r>
          <w:r>
            <w:rPr>
              <w:rStyle w:val="10"/>
              <w:rFonts w:ascii="Times New Roman" w:hAnsi="Times New Roman" w:cs="Times New Roman"/>
              <w:b/>
              <w:bCs/>
            </w:rPr>
            <w:t>ANEXO 8: OPERACIONALIZACION DE VARIABLES</w:t>
          </w:r>
          <w:r>
            <w:tab/>
          </w:r>
          <w:r>
            <w:t>52</w:t>
          </w:r>
          <w:r>
            <w:fldChar w:fldCharType="end"/>
          </w:r>
        </w:p>
        <w:p>
          <w:pPr>
            <w:pStyle w:val="13"/>
            <w:tabs>
              <w:tab w:val="right" w:leader="dot" w:pos="8828"/>
            </w:tabs>
            <w:jc w:val="both"/>
            <w:rPr>
              <w:rFonts w:eastAsiaTheme="minorEastAsia"/>
              <w:kern w:val="2"/>
              <w:sz w:val="22"/>
              <w:szCs w:val="22"/>
              <w:lang w:eastAsia="es-PE"/>
              <w14:ligatures w14:val="standardContextual"/>
            </w:rPr>
          </w:pPr>
          <w:r>
            <w:fldChar w:fldCharType="begin"/>
          </w:r>
          <w:r>
            <w:instrText xml:space="preserve"> HYPERLINK \l "_Toc145737828" </w:instrText>
          </w:r>
          <w:r>
            <w:fldChar w:fldCharType="separate"/>
          </w:r>
          <w:r>
            <w:rPr>
              <w:rStyle w:val="10"/>
              <w:rFonts w:ascii="Times New Roman" w:hAnsi="Times New Roman" w:cs="Times New Roman"/>
              <w:b/>
              <w:bCs/>
            </w:rPr>
            <w:t>ANEXO 9: FICHA DE RECOLECCIÓN DE DATOS O INSTRUMENTOS UTILIZADOS</w:t>
          </w:r>
          <w:r>
            <w:tab/>
          </w:r>
          <w:r>
            <w:t>53</w:t>
          </w:r>
          <w:r>
            <w:fldChar w:fldCharType="end"/>
          </w:r>
        </w:p>
        <w:p>
          <w:pPr>
            <w:pStyle w:val="13"/>
            <w:tabs>
              <w:tab w:val="right" w:leader="dot" w:pos="8828"/>
            </w:tabs>
            <w:jc w:val="both"/>
          </w:pPr>
          <w:r>
            <w:fldChar w:fldCharType="begin"/>
          </w:r>
          <w:r>
            <w:instrText xml:space="preserve"> HYPERLINK \l "_Toc145737829" </w:instrText>
          </w:r>
          <w:r>
            <w:fldChar w:fldCharType="separate"/>
          </w:r>
          <w:r>
            <w:rPr>
              <w:rStyle w:val="10"/>
              <w:rFonts w:ascii="Times New Roman" w:hAnsi="Times New Roman" w:cs="Times New Roman"/>
              <w:b/>
              <w:bCs/>
            </w:rPr>
            <w:t>ANEXO 10: BASES DE DATOS (EXCEL, SPSS), O EL LINK A SU BASE DE DATOS SUBIDA EN EL INICIB-URP.</w:t>
          </w:r>
          <w:r>
            <w:tab/>
          </w:r>
          <w:r>
            <w:t>56</w:t>
          </w:r>
          <w:r>
            <w:fldChar w:fldCharType="end"/>
          </w:r>
        </w:p>
        <w:p>
          <w:pPr>
            <w:pStyle w:val="13"/>
            <w:tabs>
              <w:tab w:val="right" w:leader="dot" w:pos="8828"/>
            </w:tabs>
            <w:jc w:val="both"/>
            <w:rPr>
              <w:rFonts w:eastAsiaTheme="minorEastAsia"/>
              <w:kern w:val="2"/>
              <w:sz w:val="22"/>
              <w:szCs w:val="22"/>
              <w:lang w:eastAsia="es-PE"/>
              <w14:ligatures w14:val="standardContextual"/>
            </w:rPr>
          </w:pPr>
        </w:p>
        <w:p/>
        <w:p>
          <w:pPr>
            <w:jc w:val="both"/>
          </w:pPr>
          <w:r>
            <w:rPr>
              <w:b/>
              <w:bCs/>
              <w:lang w:val="es-ES"/>
            </w:rPr>
            <w:fldChar w:fldCharType="end"/>
          </w:r>
        </w:p>
      </w:sdtContent>
    </w:sdt>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spacing w:line="360" w:lineRule="auto"/>
        <w:jc w:val="center"/>
        <w:rPr>
          <w:rFonts w:ascii="Times New Roman" w:hAnsi="Times New Roman" w:cs="Times New Roman"/>
          <w:sz w:val="22"/>
          <w:szCs w:val="22"/>
          <w:lang w:val="en-US"/>
        </w:rPr>
      </w:pPr>
    </w:p>
    <w:p>
      <w:pPr>
        <w:pStyle w:val="2"/>
        <w:rPr>
          <w:rFonts w:ascii="Times New Roman" w:hAnsi="Times New Roman" w:cs="Times New Roman"/>
          <w:b/>
          <w:bCs/>
          <w:color w:val="auto"/>
          <w:sz w:val="24"/>
          <w:szCs w:val="24"/>
          <w:lang w:val="en-US"/>
        </w:rPr>
        <w:sectPr>
          <w:pgSz w:w="12240" w:h="15840"/>
          <w:pgMar w:top="993" w:right="1701" w:bottom="1417" w:left="1701" w:header="708" w:footer="708" w:gutter="0"/>
          <w:cols w:space="708" w:num="1"/>
          <w:titlePg/>
          <w:docGrid w:linePitch="360" w:charSpace="0"/>
        </w:sectPr>
      </w:pPr>
      <w:bookmarkStart w:id="1" w:name="_Toc145737776"/>
    </w:p>
    <w:p>
      <w:pPr>
        <w:pStyle w:val="2"/>
        <w:rPr>
          <w:rFonts w:ascii="Times New Roman" w:hAnsi="Times New Roman" w:cs="Times New Roman"/>
          <w:b/>
          <w:bCs/>
          <w:color w:val="auto"/>
          <w:sz w:val="24"/>
          <w:szCs w:val="24"/>
        </w:rPr>
      </w:pPr>
      <w:r>
        <w:rPr>
          <w:rFonts w:ascii="Times New Roman" w:hAnsi="Times New Roman" w:cs="Times New Roman"/>
          <w:b/>
          <w:bCs/>
          <w:color w:val="auto"/>
          <w:sz w:val="24"/>
          <w:szCs w:val="24"/>
        </w:rPr>
        <w:t>INTRODUCCIÓN</w:t>
      </w:r>
      <w:bookmarkEnd w:id="1"/>
      <w:r>
        <w:rPr>
          <w:rFonts w:ascii="Times New Roman" w:hAnsi="Times New Roman" w:cs="Times New Roman"/>
          <w:b/>
          <w:bCs/>
          <w:color w:val="auto"/>
          <w:sz w:val="24"/>
          <w:szCs w:val="24"/>
        </w:rPr>
        <w:t xml:space="preserve"> </w:t>
      </w:r>
    </w:p>
    <w:p>
      <w:pPr>
        <w:spacing w:line="360" w:lineRule="auto"/>
        <w:rPr>
          <w:rFonts w:ascii="Times New Roman" w:hAnsi="Times New Roman" w:cs="Times New Roman"/>
          <w:b/>
          <w:bCs/>
        </w:rPr>
      </w:pPr>
    </w:p>
    <w:p>
      <w:pPr>
        <w:spacing w:line="360" w:lineRule="auto"/>
        <w:jc w:val="both"/>
        <w:rPr>
          <w:rFonts w:ascii="Times New Roman" w:hAnsi="Times New Roman" w:cs="Times New Roman"/>
        </w:rPr>
      </w:pPr>
      <w:r>
        <w:rPr>
          <w:rFonts w:ascii="Times New Roman" w:hAnsi="Times New Roman" w:cs="Times New Roman"/>
        </w:rPr>
        <w:t>La anemia por deficiencia de hierro es con mucho la anemia más común en todo el mundo. La Organización Mundial de la Salud (OMS) estima que cerca de dos mil millones de personas o el 25% de la población mundial son anémicas, y aproximadamente la mitad de ellas sufren de este tipo de anemia</w:t>
      </w:r>
      <w:r>
        <w:rPr>
          <w:rFonts w:ascii="Times New Roman" w:hAnsi="Times New Roman" w:cs="Times New Roman"/>
        </w:rPr>
        <w:fldChar w:fldCharType="begin"/>
      </w:r>
      <w:r>
        <w:rPr>
          <w:rFonts w:ascii="Times New Roman" w:hAnsi="Times New Roman" w:cs="Times New Roman"/>
        </w:rPr>
        <w:instrText xml:space="preserve"> ADDIN ZOTERO_ITEM CSL_CITATION {"citationID":"a1kmm6hhl5g","properties":{"formattedCitation":"\\super 1\\nosupersub{}","plainCitation":"1","noteIndex":0},"citationItems":[{"id":"GNOTfPg8/8oKzUCQa","uris":["http://zotero.org/users/local/6HPdQlch/items/EM2EY364"],"itemData":{"id":409,"type":"webpage","abstract":"Anaemia","language":"en","title":"Anaemia","URL":"https://www.who.int/health-topics/anaemia","author":[{"family":"WHO","given":""}],"accessed":{"date-parts":[["2023",9,16]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1</w:t>
      </w:r>
      <w:r>
        <w:rPr>
          <w:rFonts w:ascii="Times New Roman" w:hAnsi="Times New Roman" w:cs="Times New Roman"/>
        </w:rPr>
        <w:fldChar w:fldCharType="end"/>
      </w:r>
      <w:r>
        <w:rPr>
          <w:rFonts w:ascii="Times New Roman" w:hAnsi="Times New Roman" w:cs="Times New Roman"/>
        </w:rPr>
        <w:t xml:space="preserve">. Por lo tanto, hay más de dos mil millones de personas con deficiencia de hierro con o sin anemia, y la mayoría de ellos residen en países pobres en recursos. Otras causas de anemia en países de bajos ingresos incluyen otras deficiencias nutricionales (vitamina B12, ácido fólico, riboflavina), enfermedades crónicas, infecciones parasitarias como malaria, hemoglobinopatías y envenenamiento por plomo. </w:t>
      </w:r>
      <w:r>
        <w:rPr>
          <w:rFonts w:ascii="Times New Roman" w:hAnsi="Times New Roman" w:cs="Times New Roman"/>
        </w:rPr>
        <w:fldChar w:fldCharType="begin"/>
      </w:r>
      <w:r>
        <w:rPr>
          <w:rFonts w:ascii="Times New Roman" w:hAnsi="Times New Roman" w:cs="Times New Roman"/>
        </w:rPr>
        <w:instrText xml:space="preserve"> ADDIN ZOTERO_ITEM CSL_CITATION {"citationID":"a1uca4f7ctk","properties":{"formattedCitation":"\\super 2\\nosupersub{}","plainCitation":"2","noteIndex":0},"citationItems":[{"id":"GNOTfPg8/TNnGTAcP","uris":["http://zotero.org/users/local/6HPdQlch/items/XCQT2TSM"],"itemData":{"id":413,"type":"article-journal","abstract":"Iron deficiency and iron-deficiency anemia (IDA) affects approximately two billion people worldwide, and most of them reside in low- and middle-income countries. In these nations, additional causes of anemia include parasitic infections like malaria, other nutritional deficiencies, chronic diseases, hemoglobinopathies, and lead poisoning. Maternal anemia in resource-poor nations is associated with low birth weight, increased perinatal mortality, and decreased work productivity. Maintaining a normal iron balance in these settings is challenging, as iron-rich foods with good bioavailability are of animal origin and either expensive and/or available in short supply. Apart from infrequent consumption of meat, inadequate vitamin C intake, and diets rich in inhibitors of iron absorption are additional important risk factors for IDA in low-income countries. In-home iron fortification of complementary foods with micronutrient powders has been shown to effectively reduce the risk of iron deficiency and IDA in infants and young children in developing countries but is associated with unfavorable changes in gut flora and induction of intestinal inflammation that may lead to diarrhea and hospitalization. In developed countries, iron deficiency is the only frequent micronutrient deficiency. In the industrialized world, IDA is more common in infants beyond the sixth month of life, in adolescent females with heavy menstrual bleeding, in women of childbearing age and older people. Other special at-risk populations for IDA in developed countries are regular blood donors, endurance athletes, and vegetarians. Several medicinal ferrous or ferric oral iron products exist, and their use is not associated with harmful effects on the overall incidence of infectious illnesses in sideropenic and/or anemic subjects. However, further research is needed to clarify the risks and benefits of supplemental iron for children exposed to parasitic infections in low-income countries, and for children genetically predisposed to iron overload.","container-title":"Mediterranean Journal of Hematology and Infectious Diseases","DOI":"10.4084/MJHID.2020.041","ISSN":"2035-3006","issue":"1","journalAbbreviation":"Mediterr J Hematol Infect Dis","language":"eng","note":"PMID: 32670519\nPMCID: PMC7340216","page":"e2020041","source":"PubMed","title":"Iron Deficiency Anemia in Children Residing in High and Low-Income Countries: Risk Factors, Prevention, Diagnosis and Therapy","title-short":"Iron Deficiency Anemia in Children Residing in High and Low-Income Countries","volume":"12","author":[{"family":"Mantadakis","given":"Elpis"},{"family":"Chatzimichael","given":"Eleftherios"},{"family":"Zikidou","given":"Panagiota"}],"issued":{"date-parts":[["2020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2</w:t>
      </w:r>
      <w:r>
        <w:rPr>
          <w:rFonts w:ascii="Times New Roman" w:hAnsi="Times New Roman" w:cs="Times New Roman"/>
        </w:rPr>
        <w:fldChar w:fldCharType="end"/>
      </w:r>
    </w:p>
    <w:p>
      <w:pPr>
        <w:spacing w:line="360" w:lineRule="auto"/>
        <w:jc w:val="both"/>
        <w:rPr>
          <w:rFonts w:ascii="Times New Roman" w:hAnsi="Times New Roman" w:cs="Times New Roman"/>
        </w:rPr>
      </w:pPr>
      <w:r>
        <w:rPr>
          <w:rFonts w:ascii="Times New Roman" w:hAnsi="Times New Roman" w:cs="Times New Roman"/>
        </w:rPr>
        <w:t xml:space="preserve">Independientemente de la presencia de síntomas, los pacientes con anemia por déficit de hierro deben ser tratados tan pronto como sea posible porque están en riesgo de isquemia orgánica y un mayor empeoramiento de la anemia a menos que se alivie la causa subyacente y se llenen las reservas de hierro de la médula, o sea. Del mismo modo, los niños con deficiencia de hierro solo deben ser tratados porque la sideropenia se asocia con trastornos neurocognitivos de larga duración, disminución de la capacidad de aprendizaje y alteración de la función motora </w:t>
      </w:r>
      <w:r>
        <w:rPr>
          <w:rFonts w:ascii="Times New Roman" w:hAnsi="Times New Roman" w:cs="Times New Roman"/>
        </w:rPr>
        <w:fldChar w:fldCharType="begin"/>
      </w:r>
      <w:r>
        <w:rPr>
          <w:rFonts w:ascii="Times New Roman" w:hAnsi="Times New Roman" w:cs="Times New Roman"/>
        </w:rPr>
        <w:instrText xml:space="preserve"> ADDIN ZOTERO_ITEM CSL_CITATION {"citationID":"ao0jp4omnh","properties":{"formattedCitation":"\\super 3\\nosupersub{}","plainCitation":"3","noteIndex":0},"citationItems":[{"id":"GNOTfPg8/IFuXDBwo","uris":["http://zotero.org/users/local/6HPdQlch/items/LFDSVVGP"],"itemData":{"id":416,"type":"article-journal","abstract":"BACKGROUND: Anemia is a presentation of an underlying disease or deficiency. As stated by the WHO, anemia is defined as hemoglobin (Hb) levels &lt;12.0 g/dL in women and &lt;13.0 g/dL in men. This review of clinical practice aimed to determine the diagnostic approach to anemia in primary care patients.\nSUMMARY: Nutritional deficiencies, medications, chronic inflammatory conditions, malignancy, renal dysfunction, and bone marrow and inherent disorders contribute to anemia development. Anemia is classified and diagnosed by the values of hematological parameters, underlying pathological mechanism, and patient history. The diagnostic approach of anemia in primary care settings is focused on history, physical examination, laboratory findings including complete blood cell count, reticulocyte count, and peripheral smear examination, fecal occult blood test, and ultrasound findings.\nKEY MESSAGES: Anemia is the most common hematological disorder that represents a major health burden worldwide. Hb levels alter with gender, ethnicity, and physiological status. Anemia is often multifactorial. The evaluation of a patient with anemia in primary care includes clinical history, physical examination, and laboratory findings with fecal occult blood test and abdominal ultrasound. The wide variations in general practice in European countries are based on different health care systems but also knowledge of GPs that reflect educational and research policy.","container-title":"Digestive Diseases (Basel, Switzerland)","DOI":"10.1159/000517579","ISSN":"1421-9875","issue":"3","journalAbbreviation":"Dig Dis","language":"eng","note":"PMID: 34098557","page":"370-375","source":"PubMed","title":"Anemia as a Problem: GP Approach","title-short":"Anemia as a Problem","volume":"40","author":[{"family":"Milovanovic","given":"Tamara"},{"family":"Dragasevic","given":"Sanja"},{"family":"Nikolic","given":"Andreja Nebojsa"},{"family":"Markovic","given":"Aleksandra Pavlovic"},{"family":"Lalosevic","given":"Milica Stojkovic"},{"family":"Popovic","given":"Dusan D."},{"family":"Krstic","given":"Miodrag N."}],"issued":{"date-parts":[["2022"]]}}}],"schema":"https://github.com/citation-style-language/schema/raw/master/csl-citation.json"}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3</w:t>
      </w:r>
      <w:r>
        <w:rPr>
          <w:rFonts w:ascii="Times New Roman" w:hAnsi="Times New Roman" w:cs="Times New Roman"/>
        </w:rPr>
        <w:fldChar w:fldCharType="end"/>
      </w:r>
      <w:r>
        <w:rPr>
          <w:rFonts w:ascii="Times New Roman" w:hAnsi="Times New Roman" w:cs="Times New Roman"/>
        </w:rPr>
        <w:t>.</w:t>
      </w:r>
    </w:p>
    <w:p>
      <w:pPr>
        <w:spacing w:line="360" w:lineRule="auto"/>
        <w:jc w:val="both"/>
        <w:rPr>
          <w:rFonts w:ascii="Times New Roman" w:hAnsi="Times New Roman" w:cs="Times New Roman"/>
        </w:rPr>
      </w:pPr>
      <w:r>
        <w:rPr>
          <w:rFonts w:ascii="Times New Roman" w:hAnsi="Times New Roman" w:cs="Times New Roman"/>
        </w:rPr>
        <w:t xml:space="preserve">La anemia se puede prevenir mediante la aplicación de las estrategias de los métodos de prevención de la anemia. El conocimiento y las actitudes de las mujeres con respecto a la anemia también pueden jugar un papel en el éxito limitado de estas estrategias. En una encuesta realizada en ocho países en desarrollo, la anemia se reconoció más comúnmente por sus síntomas que por un nombre de enfermedad o diagnóstico clínico. Solo la mitad de las mujeres consideró que estos síntomas eran preocupantes, y muchas mujeres que tomaban suplementos de hierro, principalmente proporcionados a través de la atención prenatal, no entendían la razón del tratamiento </w:t>
      </w:r>
      <w:r>
        <w:rPr>
          <w:rFonts w:ascii="Times New Roman" w:hAnsi="Times New Roman" w:cs="Times New Roman"/>
        </w:rPr>
        <w:fldChar w:fldCharType="begin"/>
      </w:r>
      <w:r>
        <w:rPr>
          <w:rFonts w:ascii="Times New Roman" w:hAnsi="Times New Roman" w:cs="Times New Roman"/>
        </w:rPr>
        <w:instrText xml:space="preserve"> ADDIN ZOTERO_ITEM CSL_CITATION {"citationID":"a883alspg4","properties":{"formattedCitation":"\\super 4\\nosupersub{}","plainCitation":"4","noteIndex":0},"citationItems":[{"id":"GNOTfPg8/LhiI7Az2","uris":["http://zotero.org/users/local/6HPdQlch/items/I2DWLN9V"],"itemData":{"id":419,"type":"article-journal","abstract":"Anemia is a largely preventable and curable medical disease if detected intime. This study aimed to assess maternal knowledge of anemia and its prevention strategies in the public health facilities of Pawi district, Northwest, Ethiopia. A health facility-based cross-sectional study was conducted from February 1/2020 to March 2/2020, among 410 antenatal care attendees in the public health facilities of the Pawi district. The data was collected by systematic random sampling technique and analyzed using SPSS 25.0 version. Logistic regression analyses were done to estimate the crude and adjusted odds ratio with a CI of 95% and a P-value of less than .05 considered statistically significant. Less than half, 184 (44.9%) [95% CI = 40.0-49.8] and almost half, 216 (52.7%) [95% CI = 47.8-57.5] of the pregnant women had good knowledge of anemia and good adherence to its prevention strategies respectively. Women who are found in the age group of 15 to 19, 20 to 24, and 25 to 29 years, rural residency, secondary, and above educational level, vaginal bleeding, third trimester of pregnancy, and medium and high minimum dietary diversification score were significantly associated with knowledge of anemia. On the other hand: women who are found in the age group of 15 to 19 years, secondary above educational level, primigravida women, having ≤2 and 3 to 4 family sizes, second and third trimester of pregnancy, high minimum dietary diversification score, and good knowledge of anemia were significantly associated with adherence to anemia prevention strategies. Maternal knowledge of anemia and adherence to its prevention strategies were low. Nutritional counseling on the consumption of iron-rich foods and awareness creation on the effects of anemia in pregnant women must be strengthened to increase the knowledge of anemia and adherence to its prevention strategies.","container-title":"Inquiry: A Journal of Medical Care Organization, Provision and Financing","DOI":"10.1177/00469580231167731","ISSN":"0046-9580","journalAbbreviation":"Inquiry","note":"PMID: 37077150\nPMCID: PMC10134107","page":"00469580231167731","source":"PubMed Central","title":"Maternal Knowledge of Anemia and Adherence to its Prevention Strategies: A Health Facility-Based Cross-Sectional Study Design","title-short":"Maternal Knowledge of Anemia and Adherence to its Prevention Strategies","volume":"60","author":[{"family":"Balcha","given":"Wondu Feyisa"},{"family":"Eteffa","given":"Tola"},{"family":"Arega Tesfu","given":"Azimeraw"},{"family":"Abeje Alemayehu","given":"Bezawit"}],"issued":{"date-parts":[["2023",4,19]]}}}],"schema":"https://github.com/citation-style-language/schema/raw/master/csl-citation.json"}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4</w:t>
      </w:r>
      <w:r>
        <w:rPr>
          <w:rFonts w:ascii="Times New Roman" w:hAnsi="Times New Roman" w:cs="Times New Roman"/>
        </w:rPr>
        <w:fldChar w:fldCharType="end"/>
      </w:r>
      <w:r>
        <w:rPr>
          <w:rFonts w:ascii="Times New Roman" w:hAnsi="Times New Roman" w:cs="Times New Roman"/>
        </w:rPr>
        <w:t>. Entonces, las actitudes negativas hacia la suplementación con hierro, derivadas de efectos secundarios, preocupaciones con el mal gusto de la tableta, o temores de resultados adversos, podrían facilitar el incumplimiento, incluso si se conocen los beneficios de la suplementación con hierro.</w:t>
      </w:r>
    </w:p>
    <w:p>
      <w:pPr>
        <w:spacing w:line="360" w:lineRule="auto"/>
        <w:jc w:val="both"/>
        <w:rPr>
          <w:rFonts w:ascii="Times New Roman" w:hAnsi="Times New Roman" w:cs="Times New Roman"/>
        </w:rPr>
      </w:pPr>
      <w:r>
        <w:rPr>
          <w:rFonts w:ascii="Times New Roman" w:hAnsi="Times New Roman" w:cs="Times New Roman"/>
        </w:rPr>
        <w:t xml:space="preserve">Por lo tanto, teniendo en cuenta que la madre es un pilar fundamental en el desarrollo del niño y por ende en el manejo de las enfermedades que presenta, es importante estudiar el nivel de conocimiento que presentan y si esta se encuentra asociada a los resultados en cuanto al tratamiento de la anemia. </w:t>
      </w:r>
    </w:p>
    <w:p>
      <w:pPr>
        <w:spacing w:line="360" w:lineRule="auto"/>
        <w:rPr>
          <w:rFonts w:ascii="Times New Roman" w:hAnsi="Times New Roman" w:cs="Times New Roman"/>
          <w:b/>
          <w:bCs/>
        </w:rPr>
      </w:pPr>
    </w:p>
    <w:p>
      <w:pPr>
        <w:spacing w:line="360" w:lineRule="auto"/>
        <w:rPr>
          <w:rStyle w:val="24"/>
          <w:rFonts w:ascii="Times New Roman" w:hAnsi="Times New Roman" w:cs="Times New Roman"/>
          <w:b/>
          <w:bCs/>
          <w:color w:val="auto"/>
          <w:sz w:val="24"/>
          <w:szCs w:val="24"/>
          <w:lang w:val="es-PE"/>
        </w:rPr>
      </w:pPr>
      <w:bookmarkStart w:id="2" w:name="_Toc145737777"/>
      <w:r>
        <w:rPr>
          <w:rStyle w:val="23"/>
          <w:rFonts w:ascii="Times New Roman" w:hAnsi="Times New Roman" w:cs="Times New Roman"/>
          <w:b/>
          <w:bCs/>
          <w:color w:val="auto"/>
          <w:sz w:val="24"/>
          <w:szCs w:val="24"/>
          <w:lang w:val="es-PE"/>
        </w:rPr>
        <w:t>CAPÍTULO I: PROBLEMA DE INVESTIGACIÓN</w:t>
      </w:r>
      <w:bookmarkEnd w:id="2"/>
      <w:r>
        <w:rPr>
          <w:rFonts w:ascii="Times New Roman" w:hAnsi="Times New Roman" w:cs="Times New Roman"/>
          <w:b/>
          <w:bCs/>
        </w:rPr>
        <w:br w:type="textWrapping"/>
      </w:r>
      <w:r>
        <w:rPr>
          <w:rStyle w:val="24"/>
          <w:rFonts w:ascii="Times New Roman" w:hAnsi="Times New Roman" w:cs="Times New Roman"/>
          <w:b/>
          <w:bCs/>
          <w:color w:val="auto"/>
          <w:sz w:val="24"/>
          <w:szCs w:val="24"/>
          <w:lang w:val="es-PE"/>
        </w:rPr>
        <w:t>1.1. DESCRIPCION DE LA REALIDAD PROBLEMÁTICA: PLANTEAMIENTO DEL PROBLEMA</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La anemia ferropénica en niños afecta a niños entre 6 a 36 meses de edad en un aproximado de 43.6%, siendo mucho más frecuente entre los niños entre 6 a 18 meses y siendo la prevalencia de un 60% de niños sobre el rango de edad los cuales presentan anemia. La desnutrición infantil se ha reducido en los últimos años, sin embargo aún afecta al 13.1% de menores de 5 años en el 2016; en las áreas rurales llega al 26.5% y 7.9% en las urbanas</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{"citationID":"KPIIiM5L","properties":{"formattedCitation":"\\super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xml:space="preserve">. En los últimos 10 años el Perú ha logrado mostrar grandes avances para reducir la desnutrición infantil crónica, aunque sigue habiendo inequidades a nivel de la región y en zonas con niveles de pobreza, lo que exige la persistencia de las labores promovidas para reducir estas brechas.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La anemia es considerada como una patología en donde la concentración de hemoglobina y la cantidad de glóbulos rojos están debajo de los niveles habituales, existiendo variantes dependiendo a factores como género, edad y área geográfica de residencia</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{"citationID":"T8TfhivK","properties":{"formattedCitation":"\\super 6\\nosupersub{}","plainCitation":"6","noteIndex":0},"citationItems":[{"id":92,"uris":["http://zotero.org/users/11989680/items/Z32B89WP"],"itemData":{"id":92,"type":"article-journal","container-title":"Revista de Investigaciones Altoandinas","DOI":"10.18271/ria.2018.331","ISSN":"2313-2957","issue":"1","note":"publisher: Universidad Nacional del Altiplano","page":"73-84","source":"SciELO","title":"Impacto de un programa educativo incluyendo un pan fortificado para reducir los niveles de anemia en niños escolares de Yocará, Puno -Perú","volume":"20","author":[{"family":"Soncco-Sucapuca","given":"Maritza"},{"family":"Brousett-Minaya","given":"Magaly A."},{"family":"Pumacahua-Ramos","given":"Augusto"}],"issued":{"date-parts":[["2018",1]]}}}],"schema":"https://github.com/citation-style-language/schema/raw/master/csl-citation.json"}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6</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Según la ENDES (Encuesta Demográfica y de Salud Familiar) del INEI (Instituto Nacional de estadística e Informática), una causa frecuente de  anemia es la deficiente cantidad de hierro (Fe) ingerido en muestra dieta diaria, que comprende a más de la mitad del número total de casos de anemia en el Perú</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{"citationID":"5sg6fgda","properties":{"formattedCitation":"\\super 6\\nosupersub{}","plainCitation":"6","noteIndex":0},"citationItems":[{"id":92,"uris":["http://zotero.org/users/11989680/items/Z32B89WP"],"itemData":{"id":92,"type":"article-journal","container-title":"Revista de Investigaciones Altoandinas","DOI":"10.18271/ria.2018.331","ISSN":"2313-2957","issue":"1","note":"publisher: Universidad Nacional del Altiplano","page":"73-84","source":"SciELO","title":"Impacto de un programa educativo incluyendo un pan fortificado para reducir los niveles de anemia en niños escolares de Yocará, Puno -Perú","volume":"20","author":[{"family":"Soncco-Sucapuca","given":"Maritza"},{"family":"Brousett-Minaya","given":"Magaly A."},{"family":"Pumacahua-Ramos","given":"Augusto"}],"issued":{"date-parts":[["2018",1]]}}}],"schema":"https://github.com/citation-style-language/schema/raw/master/csl-citation.json"}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6</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La anemia más frecuente en el mundo es la causada por deficiencia de hierro, también llamada anemia ferropénica y su incidencia en países en vías de desarrollo es 2,5 veces mayor que en países desarrollados</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{"citationID":"YfNRxhPl","properties":{"formattedCitation":"\\super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siendo esta la prevalente en nuestro medio.</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Si bien es cierto que los factores causales de anemia son distintos y se localizan en diferentes etapas de vida, sus efectos permanecen en todo el ciclo de la vida. La presencia de una enfermedad como la anemia causa una gran interés en todos los ámbitos a nivel de salud ya que repercute de forma negativa en el desarrollo cognitivo, motor, emocional y social</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{"citationID":"WTaoicmE","properties":{"formattedCitation":"\\super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xml:space="preserve">. La carencia de hierro en los 3 primeros años de vida, afectan negativamente en la formación de mielina, y en lactantes anémicos se alarga el tiempo de conducción del estímulo. Además, los lactantes anémicos continúan mostrando un tiempo de conducción más largo después de recibir un tratamiento prolongado con hierro oral, ocasionando trastornos de aprendizaje, emocionales y de productividad </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{"citationID":"uWIne2Cv","properties":{"formattedCitation":"\\super 8\\nosupersub{}","plainCitation":"8","noteIndex":0},"citationItems":[{"id":98,"uris":["http://zotero.org/users/11989680/items/YVMUKX3Q"],"itemData":{"id":98,"type":"article-journal","abstract":"AbstractEl objetivo principal del presente estudio de revisión es de- terminar si la anemia tiene alguna incidencia en el desarrollo cognitivo y el rendimien...","container-title":"Archivos Venezolanos de Farmacología y Terapéutica","issue":"4","language":"es","page":"411-426","source":"www.redalyc.org","title":"Anemia infantil: desarrollo cognitivo y rendimiento académico","title-short":"Anemia infantil","volume":"37","author":[{"family":"Carrero","given":"Carmen María"},{"family":"Oróstegui","given":"María Alejandra"},{"family":"Escorcia","given":"Linda Ruiz"},{"family":"Arrieta","given":"David Barros"}],"issued":{"date-parts":[["2018"]]}}}],"schema":"https://github.com/citation-style-language/schema/raw/master/csl-citation.json"}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8</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Un estudio producido en Perú en el año 2012 calculó que la anemia le cuesta al Gobierno peruano 2,777 millones de soles lo que equivale al 0,62% del PBI, incluyendo costos para le economía (Costos por pérdida cognitiva, por pérdida de escolaridad y por pérdida de la productividad) y costos para el estado (costos por atención de parto prematuro, por años de repitencia, por tratamiento de los niños y de las gestantes</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{"citationID":"LQ4maaRV","properties":{"formattedCitation":"\\super 9\\nosupersub{}","plainCitation":"9","noteIndex":0},"citationItems":[{"id":52,"uris":["http://zotero.org/users/11989680/items/5U4IZ8W8"],"itemData":{"id":52,"type":"article-journal","abstract":"En el mundo la deficiencia de hierro afecta a 2000 millones de personas y de ellos 1,600 millones tienen anemia por deficiencia de hierro1,2. De ellos un 47,4 % son pre-escolares, 25,4% son escolares, 41,8% son gestantes y 30,2% son mujeres en edad fértil . La severidad del problema es establecida por la OMS según el grado de prevalencia, y se considera severo si afecta a más del 40% de la población, moderado si afecta entre el 20 y 40% de la población, y leve si afecta a menos del 20% . En América Latina se reporta que afecta a 50% de niños menores de 5 años, 75% de niños menores de 2 años; 10 a 30 % de mujeres en edad reproductiva y al 40 a 70% de las mujeres embarazadas . En el Perú existe sub registro de la anemia. MINSA reporta el diagnóstico de anemia ferropénica en sólo 2.1% de las consultas ambulatorias4 , mientras la encuesta ENDES 2015 reporta que el problema es serio para población de niños más pequeños. Según esta última publicación de INEI, el 31% de los niños menores de 5 años encuestados tiene anemia, y está presente en casi 60% de menores de 2 años, en 20,7% de las mujeres entre 15 y 49 años, y en 28% de las gestantes.\nDOI:https://doi.org/10.25176/RFMH.v16.n2.672","container-title":"Revista de la Facultad de Medicina Humana","ISSN":"2308-0531","issue":"3","language":"es","license":"Copyright (c) 2017 Revista de la Facultad de Medicina Humana","note":"number: 3","source":"revistas.urp.edu.pe","title":"ANEMIA EN LA POBLACIÓN PEDIÁTRICA DEL PERÚ","URL":"http://revistas.urp.edu.pe/index.php/RFMH/article/view/672","volume":"16","author":[{"family":"Águila-Villar","given":"Carlos","dropping-particle":"del"},{"family":"Chávez-Tejada","given":"Eliana"},{"family":"Romero-Guzmán","given":"Alberto"},{"family":"Román-Blas","given":"Zulema"},{"family":"Núñez-Almache","given":"Oswaldo"}],"accessed":{"date-parts":[["2022",11,28]]},"issued":{"date-parts":[["2016"]]}}}],"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vertAlign w:val="superscript"/>
        </w:rPr>
        <w:t>9</w:t>
      </w:r>
      <w:r>
        <w:rPr>
          <w:rFonts w:ascii="Times New Roman" w:hAnsi="Times New Roman" w:eastAsia="Arial" w:cs="Times New Roman"/>
          <w:color w:val="000000" w:themeColor="text1"/>
          <w14:textFill>
            <w14:solidFill>
              <w14:schemeClr w14:val="tx1"/>
            </w14:solidFill>
          </w14:textFill>
        </w:rPr>
        <w:fldChar w:fldCharType="end"/>
      </w:r>
    </w:p>
    <w:p>
      <w:pPr>
        <w:pStyle w:val="26"/>
        <w:spacing w:line="360" w:lineRule="auto"/>
        <w:jc w:val="both"/>
        <w:rPr>
          <w:rStyle w:val="24"/>
          <w:rFonts w:ascii="Times New Roman" w:hAnsi="Times New Roman" w:cs="Times New Roman"/>
          <w:b/>
          <w:bCs/>
          <w:color w:val="auto"/>
          <w:sz w:val="24"/>
          <w:szCs w:val="24"/>
          <w:lang w:val="es-PE"/>
        </w:rPr>
      </w:pPr>
      <w:r>
        <w:rPr>
          <w:rFonts w:ascii="Times New Roman" w:hAnsi="Times New Roman" w:cs="Times New Roman"/>
          <w:lang w:val="es-PE"/>
        </w:rPr>
        <w:t>Por lo mencionado anteriormente se puede afirmar que estamos en presencia de un serio problema de salud pública y que su persistencia en el medio a pesar de los esfuerzos realizados por el estado sigue siendo perjudicial para la población pediátrica en nuestro país.</w:t>
      </w:r>
      <w:r>
        <w:rPr>
          <w:lang w:val="es-PE"/>
        </w:rPr>
        <w:br w:type="textWrapping"/>
      </w:r>
    </w:p>
    <w:p>
      <w:pPr>
        <w:pStyle w:val="26"/>
        <w:spacing w:line="360" w:lineRule="auto"/>
        <w:jc w:val="both"/>
        <w:rPr>
          <w:rStyle w:val="24"/>
          <w:rFonts w:ascii="Times New Roman" w:hAnsi="Times New Roman" w:cs="Times New Roman"/>
          <w:b/>
          <w:bCs/>
          <w:color w:val="auto"/>
          <w:sz w:val="24"/>
          <w:szCs w:val="24"/>
          <w:lang w:val="es-PE"/>
        </w:rPr>
      </w:pPr>
      <w:bookmarkStart w:id="3" w:name="_Toc145737778"/>
      <w:r>
        <w:rPr>
          <w:rStyle w:val="24"/>
          <w:rFonts w:ascii="Times New Roman" w:hAnsi="Times New Roman" w:cs="Times New Roman"/>
          <w:b/>
          <w:bCs/>
          <w:color w:val="auto"/>
          <w:sz w:val="24"/>
          <w:szCs w:val="24"/>
          <w:lang w:val="es-PE"/>
        </w:rPr>
        <w:t>1.2. FORMULACIÓN DEL PROBLEMA</w:t>
      </w:r>
      <w:bookmarkEnd w:id="3"/>
    </w:p>
    <w:p>
      <w:pPr>
        <w:pStyle w:val="26"/>
        <w:rPr>
          <w:rStyle w:val="24"/>
          <w:rFonts w:asciiTheme="minorHAnsi" w:hAnsiTheme="minorHAnsi" w:eastAsiaTheme="minorHAnsi" w:cstheme="minorBidi"/>
          <w:color w:val="auto"/>
          <w:sz w:val="24"/>
          <w:szCs w:val="24"/>
          <w:lang w:val="es-PE"/>
        </w:rPr>
      </w:pPr>
    </w:p>
    <w:p>
      <w:pPr>
        <w:spacing w:line="360" w:lineRule="auto"/>
        <w:rPr>
          <w:rStyle w:val="24"/>
          <w:rFonts w:ascii="Times New Roman" w:hAnsi="Times New Roman" w:cs="Times New Roman" w:eastAsiaTheme="minorHAnsi"/>
          <w:color w:val="auto"/>
          <w:sz w:val="24"/>
          <w:szCs w:val="24"/>
          <w:lang w:val="es-PE"/>
        </w:rPr>
      </w:pPr>
      <w:bookmarkStart w:id="4" w:name="_Toc145737779"/>
      <w:r>
        <w:rPr>
          <w:rStyle w:val="24"/>
          <w:rFonts w:ascii="Times New Roman" w:hAnsi="Times New Roman" w:cs="Times New Roman" w:eastAsiaTheme="minorHAnsi"/>
          <w:color w:val="auto"/>
          <w:sz w:val="24"/>
          <w:szCs w:val="24"/>
          <w:lang w:val="es-PE"/>
        </w:rPr>
        <w:t>¿Cuál es la asociación entre el nivel de conocimiento de Anemia Ferropénica y la respuesta al tratamiento de pacientes evaluados en el Centro Materno Infantil Villa María del Triunfo entre Mayo y Noviembre del 2021?</w:t>
      </w:r>
      <w:bookmarkEnd w:id="4"/>
    </w:p>
    <w:p>
      <w:pPr>
        <w:pStyle w:val="26"/>
        <w:rPr>
          <w:rStyle w:val="24"/>
          <w:rFonts w:ascii="Times New Roman" w:hAnsi="Times New Roman" w:cs="Times New Roman"/>
          <w:b/>
          <w:bCs/>
          <w:color w:val="auto"/>
          <w:sz w:val="24"/>
          <w:szCs w:val="24"/>
          <w:lang w:val="es-PE"/>
        </w:rPr>
      </w:pPr>
      <w:r>
        <w:rPr>
          <w:rStyle w:val="24"/>
          <w:rFonts w:ascii="Times New Roman" w:hAnsi="Times New Roman" w:cs="Times New Roman"/>
          <w:b/>
          <w:bCs/>
          <w:color w:val="auto"/>
          <w:sz w:val="24"/>
          <w:szCs w:val="24"/>
          <w:lang w:val="es-PE"/>
        </w:rPr>
        <w:br w:type="textWrapping"/>
      </w:r>
      <w:bookmarkStart w:id="5" w:name="_Toc145737780"/>
      <w:r>
        <w:rPr>
          <w:rStyle w:val="24"/>
          <w:rFonts w:ascii="Times New Roman" w:hAnsi="Times New Roman" w:cs="Times New Roman"/>
          <w:b/>
          <w:bCs/>
          <w:color w:val="auto"/>
          <w:sz w:val="24"/>
          <w:szCs w:val="24"/>
          <w:lang w:val="es-PE"/>
        </w:rPr>
        <w:t>1.3. LINEA DE INVESTIGACIÓN NACIONAL Y DE LA URP VINCULADA</w:t>
      </w:r>
      <w:bookmarkEnd w:id="5"/>
    </w:p>
    <w:p>
      <w:pPr>
        <w:pStyle w:val="26"/>
        <w:rPr>
          <w:rStyle w:val="24"/>
          <w:rFonts w:ascii="Times New Roman" w:hAnsi="Times New Roman" w:cs="Times New Roman"/>
          <w:b/>
          <w:bCs/>
          <w:color w:val="auto"/>
          <w:sz w:val="24"/>
          <w:szCs w:val="24"/>
          <w:lang w:val="es-PE"/>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La línea de investigación del presente estudio, de acuerdo con las prioridades de investigación del INS 2019 – 2023, corresponde a los problemas sanitarios Malnutrición y Anemia (Prioridad 3) y además a la línea de investigación de la Facultad de Medicina Humana de la Universidad Ricardo Palma número 6.</w:t>
      </w:r>
    </w:p>
    <w:p>
      <w:pPr>
        <w:pStyle w:val="26"/>
        <w:rPr>
          <w:rStyle w:val="24"/>
          <w:rFonts w:asciiTheme="minorHAnsi" w:hAnsiTheme="minorHAnsi" w:eastAsiaTheme="minorHAnsi" w:cstheme="minorBidi"/>
          <w:color w:val="auto"/>
          <w:sz w:val="24"/>
          <w:szCs w:val="24"/>
          <w:lang w:val="es-PE"/>
        </w:rPr>
      </w:pPr>
    </w:p>
    <w:p>
      <w:pPr>
        <w:pStyle w:val="26"/>
        <w:rPr>
          <w:rStyle w:val="24"/>
          <w:rFonts w:ascii="Times New Roman" w:hAnsi="Times New Roman" w:cs="Times New Roman"/>
          <w:b/>
          <w:bCs/>
          <w:color w:val="auto"/>
          <w:sz w:val="24"/>
          <w:szCs w:val="24"/>
          <w:lang w:val="es-PE"/>
        </w:rPr>
      </w:pPr>
      <w:bookmarkStart w:id="6" w:name="_Toc145737781"/>
      <w:r>
        <w:rPr>
          <w:rStyle w:val="24"/>
          <w:rFonts w:ascii="Times New Roman" w:hAnsi="Times New Roman" w:cs="Times New Roman"/>
          <w:b/>
          <w:bCs/>
          <w:color w:val="auto"/>
          <w:sz w:val="24"/>
          <w:szCs w:val="24"/>
          <w:lang w:val="es-PE"/>
        </w:rPr>
        <w:t>1.4 JUSTIFICACIÓN DE LA INVESTIGACIÓN</w:t>
      </w:r>
      <w:bookmarkEnd w:id="6"/>
    </w:p>
    <w:p>
      <w:pPr>
        <w:pStyle w:val="26"/>
        <w:spacing w:line="360" w:lineRule="auto"/>
        <w:jc w:val="both"/>
        <w:rPr>
          <w:rStyle w:val="24"/>
          <w:rFonts w:ascii="Times New Roman" w:hAnsi="Times New Roman" w:cs="Times New Roman"/>
          <w:b/>
          <w:bCs/>
          <w:color w:val="auto"/>
          <w:sz w:val="24"/>
          <w:szCs w:val="24"/>
          <w:lang w:val="es-PE"/>
        </w:rPr>
      </w:pPr>
    </w:p>
    <w:p>
      <w:pPr>
        <w:spacing w:line="360" w:lineRule="auto"/>
        <w:jc w:val="both"/>
        <w:rPr>
          <w:rStyle w:val="24"/>
          <w:rFonts w:ascii="Times New Roman" w:hAnsi="Times New Roman" w:cs="Times New Roman" w:eastAsiaTheme="minorHAnsi"/>
          <w:color w:val="auto"/>
          <w:sz w:val="24"/>
          <w:szCs w:val="24"/>
          <w:lang w:val="es-PE"/>
        </w:rPr>
      </w:pPr>
      <w:bookmarkStart w:id="7" w:name="_Toc145737786"/>
      <w:r>
        <w:rPr>
          <w:rStyle w:val="24"/>
          <w:rFonts w:ascii="Times New Roman" w:hAnsi="Times New Roman" w:cs="Times New Roman" w:eastAsiaTheme="minorHAnsi"/>
          <w:color w:val="auto"/>
          <w:sz w:val="24"/>
          <w:szCs w:val="24"/>
          <w:lang w:val="es-PE"/>
        </w:rPr>
        <w:t>En los últimos años, la presencia de la anemia ha suscitado una creciente preocupación tanto a nivel global como local. En respuesta a esta problemática, se han implementado programas multisectoriales que se centran en salvaguardar la salud durante la infancia. En Perú, se han logrado avances significativos en el control de esta enfermedad mediante la formulación de políticas de salud específicas, y se ha reconocido como la tercera prioridad nacional en investigación en salud.</w:t>
      </w:r>
    </w:p>
    <w:p>
      <w:pPr>
        <w:spacing w:line="360" w:lineRule="auto"/>
        <w:jc w:val="both"/>
        <w:rPr>
          <w:rStyle w:val="24"/>
          <w:rFonts w:ascii="Times New Roman" w:hAnsi="Times New Roman" w:cs="Times New Roman" w:eastAsiaTheme="minorHAnsi"/>
          <w:color w:val="auto"/>
          <w:sz w:val="24"/>
          <w:szCs w:val="24"/>
          <w:lang w:val="es-PE"/>
        </w:rPr>
      </w:pPr>
    </w:p>
    <w:p>
      <w:pPr>
        <w:spacing w:line="360" w:lineRule="auto"/>
        <w:jc w:val="both"/>
        <w:rPr>
          <w:rStyle w:val="24"/>
          <w:rFonts w:ascii="Times New Roman" w:hAnsi="Times New Roman" w:cs="Times New Roman" w:eastAsiaTheme="minorHAnsi"/>
          <w:color w:val="auto"/>
          <w:sz w:val="24"/>
          <w:szCs w:val="24"/>
          <w:lang w:val="es-PE"/>
        </w:rPr>
      </w:pPr>
      <w:r>
        <w:rPr>
          <w:rStyle w:val="24"/>
          <w:rFonts w:ascii="Times New Roman" w:hAnsi="Times New Roman" w:cs="Times New Roman" w:eastAsiaTheme="minorHAnsi"/>
          <w:color w:val="auto"/>
          <w:sz w:val="24"/>
          <w:szCs w:val="24"/>
          <w:lang w:val="es-PE"/>
        </w:rPr>
        <w:t>Aunque la mayoría de las acciones se han centrado en cuidados que abarcan hasta los primeros 35 meses de vida, es importante tener en cuenta que el desarrollo cognitivo alcanza su máximo potencial alrededor de los 5 años(7). Este hecho ha generado un vacío en la investigación sobre la anemia en esta etapa crucial del desarrollo, por lo que es esencial complementar los estudios existentes.</w:t>
      </w:r>
    </w:p>
    <w:p>
      <w:pPr>
        <w:spacing w:line="360" w:lineRule="auto"/>
        <w:jc w:val="both"/>
        <w:rPr>
          <w:rStyle w:val="24"/>
          <w:rFonts w:ascii="Times New Roman" w:hAnsi="Times New Roman" w:cs="Times New Roman" w:eastAsiaTheme="minorHAnsi"/>
          <w:color w:val="auto"/>
          <w:sz w:val="24"/>
          <w:szCs w:val="24"/>
          <w:lang w:val="es-PE"/>
        </w:rPr>
      </w:pPr>
    </w:p>
    <w:p>
      <w:pPr>
        <w:spacing w:line="360" w:lineRule="auto"/>
        <w:jc w:val="both"/>
        <w:rPr>
          <w:rStyle w:val="24"/>
          <w:rFonts w:ascii="Times New Roman" w:hAnsi="Times New Roman" w:cs="Times New Roman" w:eastAsiaTheme="minorHAnsi"/>
          <w:color w:val="auto"/>
          <w:sz w:val="24"/>
          <w:szCs w:val="24"/>
          <w:lang w:val="es-PE"/>
        </w:rPr>
      </w:pPr>
      <w:r>
        <w:rPr>
          <w:rStyle w:val="24"/>
          <w:rFonts w:ascii="Times New Roman" w:hAnsi="Times New Roman" w:cs="Times New Roman" w:eastAsiaTheme="minorHAnsi"/>
          <w:color w:val="auto"/>
          <w:sz w:val="24"/>
          <w:szCs w:val="24"/>
          <w:lang w:val="es-PE"/>
        </w:rPr>
        <w:t>La identificación de los factores asociados a la anemia permitirá abordarla de manera más efectiva, mejorando el diagnóstico y control en la infancia. Además, esto contribuirá a reducir las complicaciones que esta enfermedad suele acarrear en términos de salud, aspectos sociales y económicos, disminuyendo así su impacto en nuestro país.</w:t>
      </w:r>
    </w:p>
    <w:p>
      <w:pPr>
        <w:spacing w:line="360" w:lineRule="auto"/>
        <w:jc w:val="both"/>
        <w:rPr>
          <w:rStyle w:val="24"/>
          <w:rFonts w:ascii="Times New Roman" w:hAnsi="Times New Roman" w:cs="Times New Roman" w:eastAsiaTheme="minorHAnsi"/>
          <w:color w:val="auto"/>
          <w:sz w:val="24"/>
          <w:szCs w:val="24"/>
          <w:lang w:val="es-PE"/>
        </w:rPr>
      </w:pPr>
      <w:r>
        <w:rPr>
          <w:rStyle w:val="24"/>
          <w:rFonts w:ascii="Times New Roman" w:hAnsi="Times New Roman" w:cs="Times New Roman" w:eastAsiaTheme="minorHAnsi"/>
          <w:color w:val="auto"/>
          <w:sz w:val="24"/>
          <w:szCs w:val="24"/>
          <w:lang w:val="es-PE"/>
        </w:rPr>
        <w:t>Con la situación epidemiológica actual, se decide realizar este estudio, en el Centro Materno Infantil Villa María del triunfo, a fin de indagar acerca de la situación de los pacientes que presentan tratamiento de anemia ferropénica y la asociación que esta tiene con el grado de conocimiento de la presente patología por medio de los familiares responsables ya que son ellos quienes administran la alimentación y tratamiento de los afectados, reforzando así o refutando los resultados de otros estudios realizados en el plano nacional e internacional.</w:t>
      </w:r>
      <w:bookmarkEnd w:id="7"/>
    </w:p>
    <w:p>
      <w:pPr>
        <w:pStyle w:val="26"/>
        <w:rPr>
          <w:rStyle w:val="24"/>
          <w:rFonts w:asciiTheme="minorHAnsi" w:hAnsiTheme="minorHAnsi" w:eastAsiaTheme="minorHAnsi" w:cstheme="minorBidi"/>
          <w:color w:val="auto"/>
          <w:sz w:val="24"/>
          <w:szCs w:val="24"/>
          <w:lang w:val="es-PE"/>
        </w:rPr>
      </w:pPr>
    </w:p>
    <w:p>
      <w:pPr>
        <w:pStyle w:val="26"/>
        <w:rPr>
          <w:rStyle w:val="24"/>
          <w:rFonts w:ascii="Times New Roman" w:hAnsi="Times New Roman" w:cs="Times New Roman"/>
          <w:b/>
          <w:bCs/>
          <w:color w:val="auto"/>
          <w:sz w:val="24"/>
          <w:szCs w:val="24"/>
          <w:lang w:val="es-PE"/>
        </w:rPr>
      </w:pPr>
      <w:bookmarkStart w:id="8" w:name="_Toc145737787"/>
      <w:r>
        <w:rPr>
          <w:rStyle w:val="24"/>
          <w:rFonts w:ascii="Times New Roman" w:hAnsi="Times New Roman" w:cs="Times New Roman"/>
          <w:b/>
          <w:bCs/>
          <w:color w:val="auto"/>
          <w:sz w:val="24"/>
          <w:szCs w:val="24"/>
          <w:lang w:val="es-PE"/>
        </w:rPr>
        <w:t>1.5. DELIMITACION DEL PROBLEMA:</w:t>
      </w:r>
      <w:bookmarkEnd w:id="8"/>
      <w:r>
        <w:rPr>
          <w:rStyle w:val="24"/>
          <w:rFonts w:ascii="Times New Roman" w:hAnsi="Times New Roman" w:cs="Times New Roman"/>
          <w:b/>
          <w:bCs/>
          <w:color w:val="auto"/>
          <w:sz w:val="24"/>
          <w:szCs w:val="24"/>
          <w:lang w:val="es-PE"/>
        </w:rPr>
        <w:t xml:space="preserve"> </w:t>
      </w:r>
    </w:p>
    <w:p>
      <w:pPr>
        <w:pStyle w:val="26"/>
        <w:rPr>
          <w:rStyle w:val="24"/>
          <w:rFonts w:asciiTheme="minorHAnsi" w:hAnsiTheme="minorHAnsi" w:eastAsiaTheme="minorHAnsi" w:cstheme="minorBidi"/>
          <w:color w:val="auto"/>
          <w:sz w:val="24"/>
          <w:szCs w:val="24"/>
          <w:lang w:val="es-PE"/>
        </w:rPr>
      </w:pPr>
    </w:p>
    <w:p>
      <w:pPr>
        <w:spacing w:line="360" w:lineRule="auto"/>
        <w:rPr>
          <w:rStyle w:val="24"/>
          <w:rFonts w:ascii="Times New Roman" w:hAnsi="Times New Roman" w:cs="Times New Roman" w:eastAsiaTheme="minorHAnsi"/>
          <w:color w:val="auto"/>
          <w:sz w:val="24"/>
          <w:szCs w:val="24"/>
          <w:lang w:val="es-PE"/>
        </w:rPr>
      </w:pPr>
      <w:bookmarkStart w:id="9" w:name="_Toc145737788"/>
      <w:r>
        <w:rPr>
          <w:rStyle w:val="24"/>
          <w:rFonts w:ascii="Times New Roman" w:hAnsi="Times New Roman" w:cs="Times New Roman" w:eastAsiaTheme="minorHAnsi"/>
          <w:color w:val="auto"/>
          <w:sz w:val="24"/>
          <w:szCs w:val="24"/>
          <w:lang w:val="es-PE"/>
        </w:rPr>
        <w:t>El presente estudio se realizó en el Centro Materno Infantil Villa María del Triunfo ubicado en el distrito de Villa María del Triunfo al sur de la ciudad de Lima - Perú, tomando en consideración a pacientes con Anemia Ferropénica que hayan sido diagnosticados en el Centro Materno Infantil Villa María del Triunfo en el contexto COVID-19 entre Mayo y Noviembre del 2021.</w:t>
      </w:r>
      <w:bookmarkEnd w:id="9"/>
    </w:p>
    <w:p>
      <w:pPr>
        <w:pStyle w:val="26"/>
        <w:rPr>
          <w:rStyle w:val="24"/>
          <w:rFonts w:ascii="Times New Roman" w:hAnsi="Times New Roman" w:cs="Times New Roman"/>
          <w:b/>
          <w:bCs/>
          <w:color w:val="auto"/>
          <w:sz w:val="24"/>
          <w:szCs w:val="24"/>
          <w:lang w:val="es-PE"/>
        </w:rPr>
      </w:pPr>
      <w:r>
        <w:rPr>
          <w:rStyle w:val="24"/>
          <w:rFonts w:asciiTheme="minorHAnsi" w:hAnsiTheme="minorHAnsi" w:eastAsiaTheme="minorHAnsi" w:cstheme="minorBidi"/>
          <w:color w:val="auto"/>
          <w:sz w:val="24"/>
          <w:szCs w:val="24"/>
          <w:lang w:val="es-PE"/>
        </w:rPr>
        <w:br w:type="textWrapping"/>
      </w:r>
      <w:bookmarkStart w:id="10" w:name="_Toc145737789"/>
      <w:r>
        <w:rPr>
          <w:rStyle w:val="24"/>
          <w:rFonts w:ascii="Times New Roman" w:hAnsi="Times New Roman" w:cs="Times New Roman"/>
          <w:b/>
          <w:bCs/>
          <w:color w:val="auto"/>
          <w:sz w:val="24"/>
          <w:szCs w:val="24"/>
          <w:lang w:val="es-PE"/>
        </w:rPr>
        <w:t>1.6 OBJETIVOS DE LA INVESTIGACIÓN</w:t>
      </w:r>
      <w:bookmarkEnd w:id="10"/>
    </w:p>
    <w:p>
      <w:pPr>
        <w:pStyle w:val="26"/>
        <w:rPr>
          <w:rStyle w:val="25"/>
          <w:rFonts w:ascii="Times New Roman" w:hAnsi="Times New Roman" w:cs="Times New Roman"/>
          <w:b/>
          <w:bCs/>
          <w:color w:val="auto"/>
          <w:lang w:val="es-PE"/>
        </w:rPr>
      </w:pPr>
      <w:r>
        <w:rPr>
          <w:lang w:val="es-PE"/>
        </w:rPr>
        <w:br w:type="textWrapping"/>
      </w:r>
      <w:r>
        <w:rPr>
          <w:lang w:val="es-PE"/>
        </w:rPr>
        <w:tab/>
      </w:r>
      <w:bookmarkStart w:id="11" w:name="_Toc145737790"/>
      <w:r>
        <w:rPr>
          <w:rStyle w:val="25"/>
          <w:rFonts w:ascii="Times New Roman" w:hAnsi="Times New Roman" w:cs="Times New Roman"/>
          <w:b/>
          <w:bCs/>
          <w:color w:val="auto"/>
          <w:lang w:val="es-PE"/>
        </w:rPr>
        <w:t>1.6.1. OBJETIVO GENERAL</w:t>
      </w:r>
      <w:bookmarkEnd w:id="11"/>
    </w:p>
    <w:p>
      <w:pPr>
        <w:pStyle w:val="26"/>
        <w:rPr>
          <w:rStyle w:val="25"/>
          <w:rFonts w:ascii="Times New Roman" w:hAnsi="Times New Roman" w:cs="Times New Roman"/>
          <w:b/>
          <w:bCs/>
          <w:color w:val="auto"/>
          <w:lang w:val="es-PE"/>
        </w:rPr>
      </w:pPr>
    </w:p>
    <w:p>
      <w:pPr>
        <w:pStyle w:val="26"/>
        <w:spacing w:line="360" w:lineRule="auto"/>
        <w:jc w:val="both"/>
        <w:rPr>
          <w:rFonts w:ascii="Times New Roman" w:hAnsi="Times New Roman" w:cs="Times New Roman"/>
          <w:lang w:val="es-PE"/>
        </w:rPr>
      </w:pPr>
      <w:r>
        <w:rPr>
          <w:rFonts w:ascii="Times New Roman" w:hAnsi="Times New Roman" w:cs="Times New Roman"/>
          <w:lang w:val="es-PE"/>
        </w:rPr>
        <w:t>Determinar la asociación entre el nivel de conocimiento de Anemia Ferropénica y la respuesta al tratamiento de pacientes evaluados en el Centro Materno Infantil Villa María del Triunfo entre Mayo y Noviembre del 2021.</w:t>
      </w:r>
    </w:p>
    <w:p>
      <w:pPr>
        <w:pStyle w:val="26"/>
        <w:rPr>
          <w:rStyle w:val="25"/>
          <w:rFonts w:ascii="Times New Roman" w:hAnsi="Times New Roman" w:cs="Times New Roman"/>
          <w:b/>
          <w:bCs/>
          <w:color w:val="auto"/>
          <w:lang w:val="es-PE"/>
        </w:rPr>
      </w:pPr>
      <w:r>
        <w:rPr>
          <w:rStyle w:val="25"/>
          <w:rFonts w:ascii="Times New Roman" w:hAnsi="Times New Roman" w:cs="Times New Roman"/>
          <w:b/>
          <w:bCs/>
          <w:color w:val="auto"/>
          <w:lang w:val="es-PE"/>
        </w:rPr>
        <w:br w:type="textWrapping"/>
      </w:r>
      <w:r>
        <w:rPr>
          <w:rStyle w:val="25"/>
          <w:rFonts w:ascii="Times New Roman" w:hAnsi="Times New Roman" w:cs="Times New Roman"/>
          <w:b/>
          <w:bCs/>
          <w:color w:val="auto"/>
          <w:lang w:val="es-PE"/>
        </w:rPr>
        <w:tab/>
      </w:r>
      <w:bookmarkStart w:id="12" w:name="_Toc145737791"/>
      <w:r>
        <w:rPr>
          <w:rStyle w:val="25"/>
          <w:rFonts w:ascii="Times New Roman" w:hAnsi="Times New Roman" w:cs="Times New Roman"/>
          <w:b/>
          <w:bCs/>
          <w:color w:val="auto"/>
          <w:lang w:val="es-PE"/>
        </w:rPr>
        <w:t>1.6.2. OBJETIVOS ESPECÍFICOS</w:t>
      </w:r>
      <w:bookmarkEnd w:id="12"/>
    </w:p>
    <w:p>
      <w:pPr>
        <w:pStyle w:val="26"/>
        <w:jc w:val="both"/>
        <w:rPr>
          <w:rStyle w:val="25"/>
          <w:rFonts w:ascii="Times New Roman" w:hAnsi="Times New Roman" w:cs="Times New Roman"/>
          <w:b/>
          <w:bCs/>
          <w:color w:val="auto"/>
          <w:lang w:val="es-PE"/>
        </w:rPr>
      </w:pP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Determinar el nivel de conocimiento de Anemia Ferropénica de las madres de los pacientes evaluados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Determinar la respuesta al tratamiento de pacientes evaluados con anemia ferropénica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Determinar la asociación entre el nivel de conocimiento alto y la respuesta al tratamiento de pacientes evaluados con anemia ferropénica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Determinar la asociación entre el nivel de conocimiento medio y la respuesta al tratamiento de pacientes evaluados con anemia ferropénica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Determinar la asociación entre el nivel de conocimiento bajo y la respuesta al tratamiento de pacientes evaluados con anemia ferropénica en el Centro Materno Infantil Villa María del Triunfo entre Mayo y Noviembre del 2021</w:t>
      </w: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6"/>
        <w:spacing w:line="360" w:lineRule="auto"/>
        <w:jc w:val="both"/>
        <w:rPr>
          <w:rFonts w:ascii="Times New Roman" w:hAnsi="Times New Roman" w:cs="Times New Roman"/>
          <w:lang w:val="es-PE"/>
        </w:rPr>
      </w:pPr>
    </w:p>
    <w:p>
      <w:pPr>
        <w:pStyle w:val="2"/>
        <w:rPr>
          <w:rFonts w:ascii="Times New Roman" w:hAnsi="Times New Roman" w:cs="Times New Roman"/>
          <w:b/>
          <w:bCs/>
          <w:color w:val="auto"/>
          <w:sz w:val="24"/>
          <w:szCs w:val="24"/>
        </w:rPr>
      </w:pPr>
      <w:bookmarkStart w:id="13" w:name="_Toc145737792"/>
      <w:r>
        <w:rPr>
          <w:rFonts w:ascii="Times New Roman" w:hAnsi="Times New Roman" w:cs="Times New Roman"/>
          <w:b/>
          <w:bCs/>
          <w:color w:val="auto"/>
          <w:sz w:val="24"/>
          <w:szCs w:val="24"/>
        </w:rPr>
        <w:t>CAPÍTULO II: MARCO TEÓRICO</w:t>
      </w:r>
      <w:bookmarkEnd w:id="13"/>
    </w:p>
    <w:p/>
    <w:p>
      <w:pPr>
        <w:pStyle w:val="3"/>
        <w:rPr>
          <w:rFonts w:ascii="Times New Roman" w:hAnsi="Times New Roman" w:cs="Times New Roman"/>
          <w:b/>
          <w:bCs/>
          <w:color w:val="auto"/>
          <w:sz w:val="24"/>
          <w:szCs w:val="24"/>
        </w:rPr>
      </w:pPr>
      <w:bookmarkStart w:id="14" w:name="_Toc145737793"/>
      <w:r>
        <w:rPr>
          <w:rFonts w:ascii="Times New Roman" w:hAnsi="Times New Roman" w:cs="Times New Roman"/>
          <w:b/>
          <w:bCs/>
          <w:color w:val="auto"/>
          <w:sz w:val="24"/>
          <w:szCs w:val="24"/>
        </w:rPr>
        <w:t>2.1. ANTECEDENTES DE LA INVESTIGACIÓN</w:t>
      </w:r>
      <w:bookmarkEnd w:id="14"/>
    </w:p>
    <w:p/>
    <w:p>
      <w:pPr>
        <w:spacing w:line="360" w:lineRule="auto"/>
        <w:jc w:val="both"/>
        <w:rPr>
          <w:rFonts w:ascii="Times New Roman" w:hAnsi="Times New Roman" w:cs="Times New Roman"/>
        </w:rPr>
      </w:pPr>
      <w:bookmarkStart w:id="15" w:name="_Toc145737794"/>
      <w:r>
        <w:rPr>
          <w:rStyle w:val="25"/>
          <w:rFonts w:ascii="Times New Roman" w:hAnsi="Times New Roman" w:cs="Times New Roman"/>
          <w:b/>
          <w:bCs/>
          <w:color w:val="auto"/>
          <w:lang w:val="es-PE"/>
        </w:rPr>
        <w:t>2.1.1 Antecedentes Internacionales</w:t>
      </w:r>
      <w:bookmarkEnd w:id="15"/>
      <w:r>
        <w:rPr>
          <w:rFonts w:ascii="Times New Roman" w:hAnsi="Times New Roman" w:cs="Times New Roman"/>
        </w:rPr>
        <w:t>:</w:t>
      </w:r>
    </w:p>
    <w:p>
      <w:pPr>
        <w:pStyle w:val="4"/>
        <w:spacing w:before="240" w:after="60"/>
        <w:jc w:val="both"/>
        <w:rPr>
          <w:rFonts w:ascii="Arial" w:hAnsi="Arial" w:eastAsia="Arial" w:cs="Arial"/>
          <w:b/>
          <w:bCs/>
          <w:color w:val="000000" w:themeColor="text1"/>
          <w14:textFill>
            <w14:solidFill>
              <w14:schemeClr w14:val="tx1"/>
            </w14:solidFill>
          </w14:textFill>
        </w:rPr>
      </w:pPr>
      <w:bookmarkStart w:id="16" w:name="_Toc52458845"/>
      <w:bookmarkStart w:id="17" w:name="_Toc145737795"/>
      <w:bookmarkStart w:id="18" w:name="_Hlk145721324"/>
      <w:r>
        <w:rPr>
          <w:rFonts w:ascii="Arial" w:hAnsi="Arial" w:eastAsia="Arial" w:cs="Arial"/>
          <w:b/>
          <w:bCs/>
          <w:color w:val="000000" w:themeColor="text1"/>
          <w:lang w:val="es-MX"/>
          <w14:textFill>
            <w14:solidFill>
              <w14:schemeClr w14:val="tx1"/>
            </w14:solidFill>
          </w14:textFill>
        </w:rPr>
        <w:t>2.1.1 Antecedentes Internacionales:</w:t>
      </w:r>
      <w:bookmarkEnd w:id="16"/>
      <w:bookmarkEnd w:id="17"/>
    </w:p>
    <w:p>
      <w:pPr>
        <w:jc w:val="both"/>
        <w:rPr>
          <w:rFonts w:ascii="Arial" w:hAnsi="Arial" w:eastAsia="Arial" w:cs="Arial"/>
          <w:color w:val="000000" w:themeColor="text1"/>
          <w14:textFill>
            <w14:solidFill>
              <w14:schemeClr w14:val="tx1"/>
            </w14:solidFill>
          </w14:textFill>
        </w:rPr>
      </w:pPr>
    </w:p>
    <w:p>
      <w:pPr>
        <w:pStyle w:val="27"/>
        <w:numPr>
          <w:ilvl w:val="0"/>
          <w:numId w:val="2"/>
        </w:numPr>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lang w:val="es-PE"/>
          <w14:textFill>
            <w14:solidFill>
              <w14:schemeClr w14:val="tx1"/>
            </w14:solidFill>
          </w14:textFill>
        </w:rPr>
        <w:t>Wang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PE"/>
          <w14:textFill>
            <w14:solidFill>
              <w14:schemeClr w14:val="tx1"/>
            </w14:solidFill>
          </w14:textFill>
        </w:rPr>
        <w:instrText xml:space="preserve"> ADDIN ZOTERO_ITEM CSL_CITATION {"citationID":"sCoi394b","properties":{"formattedCitation":"\\super 10\\nosupersub{}","plainCitation":"10","noteIndex":0},"citationItems":[{"id":18,"uris":["http://zotero.org/users/11989680/items/54XT8G99"],"itemData":{"id":18,"type":"article-journal","abstract":"BACKGROUND: The association between exclusive breastfeeding duration and infant anemia is not clear.\nOBJECTIVE: This study aimed to assess the association of exclusive breastfeeding duration with risk of anemia in infants at 12 mo of age and in children aged 48-71 mo in mainland China.\nMETHODS: Detailed breastfeeding information and anthropometric data were obtained for 65,256 children enrolled in the Jiaxing Birth Cohort at 1, 3, and 6 mo of age. Hemoglobin was measured in 25,549 children at 12 mo and in 32,770 children between the ages of 48 and 71 mo. Anemia was defined as hemoglobin concentrations &lt;110 g/L in children aged &lt;60 mo and &lt;115 g/L in children aged ≥60 mo. The associations between exclusive breastfeeding duration and risk of anemia were assessed as adjusted ORs by using multiple logistic regression.\nRESULTS: Overall anemia prevalences at 12 and 48-71 mo were 24.9% and 9.9%, respectively. Exclusive breastfeeding for ≥6 mo, but not for 3-5 mo, was significantly associated with a higher risk of anemia in infants at age 12 mo (OR: 1.15; 95% CI: 1.02, 1.29; P = 0.02) compared with exclusive breastfeeding for &lt;3 mo. For young children aged 48-71 mo, this finding was only marginally significant (OR: 1.13; 95% CI: 0.99, 1.29; P = 0.08). Prolonged duration of exclusive breastfeeding was also significantly associated with decreased hemoglobin concentrations of -0.56 g/L (95% CI: -1.10, -0.03; P = 0.04) in infants and -0.99 g/L (95% CI: -1.44, -0.55; P &lt; 0.001) in young children.\nCONCLUSIONS: Exclusive breastfeeding for ≥6 mo was associated with an increased risk of anemia in infants aged 12 mo and with lower hemoglobin concentrations in both infants aged 12 mo and young children aged 48-71 mo. Parents should provide infants with an adequate source of iron after 6 mo of exclusive breastfeeding.","container-title":"The Journal of Nutrition","DOI":"10.3945/jn.116.232967","ISSN":"1541-6100","issue":"9","journalAbbreviation":"J Nutr","language":"eng","note":"PMID: 27489010","page":"1707-1713","source":"PubMed","title":"Prolonged Exclusive Breastfeeding Duration Is Positively Associated with Risk of Anemia in Infants Aged 12 Months","volume":"146","author":[{"family":"Wang","given":"Fenglei"},{"family":"Liu","given":"Huijuan"},{"family":"Wan","given":"Yi"},{"family":"Li","given":"Jing"},{"family":"Chen","given":"Yu"},{"family":"Zheng","given":"Jusheng"},{"family":"Huang","given":"Tao"},{"family":"Li","given":"Duo"}],"issued":{"date-parts":[["2016",9]]}}}],"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10</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PE"/>
          <w14:textFill>
            <w14:solidFill>
              <w14:schemeClr w14:val="tx1"/>
            </w14:solidFill>
          </w14:textFill>
        </w:rPr>
        <w:t>, En su artículo titulado "Duración Prolongada de la Lactancia Materna Exclusiva se Asocia Positivamente con el Riesgo de Anemia en Bebés" en China en 2015, se llevó a cabo un estudio de cohortes que se centró en lactantes de 12 meses de edad. Los resultados obtenidos en el estudio fueron los siguientes: en relación a la duración de la lactancia materna exclusiva versus la incidencia de anemia, se encontraron las siguientes cifras: para una duración de lactancia materna exclusiva de menos de 3 meses, la Odds Ratio (OR) fue de 1.00 con un intervalo de confianza del 95% (IC95%) entre 1.4 y 1.5; para una duración de 3 a 5 meses, la OR fue de 1.00 con un IC95% de (0.94-1.96); y finalmente, para una duración de lactancia exclusiva de 6 meses o más, la OR fue de 1.17 con un IC95% de (1.04-1.31). La conclusión principal del estudio fue que la lactancia materna exclusiva durante 6 meses o más, pero no durante 3 a 5 meses, se asoció de manera significativa con un mayor riesgo de anemia en comparación con la lactancia exclusiva durante menos de 3 meses.</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pStyle w:val="27"/>
        <w:numPr>
          <w:ilvl w:val="0"/>
          <w:numId w:val="2"/>
        </w:num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4D5156"/>
          <w:sz w:val="24"/>
          <w:szCs w:val="24"/>
          <w:shd w:val="clear" w:color="auto" w:fill="FFFFFF"/>
        </w:rPr>
        <w:t> </w:t>
      </w:r>
      <w:r>
        <w:rPr>
          <w:rFonts w:ascii="Times New Roman" w:hAnsi="Times New Roman" w:cs="Times New Roman"/>
          <w:color w:val="000000" w:themeColor="text1"/>
          <w:sz w:val="24"/>
          <w:szCs w:val="24"/>
          <w:shd w:val="clear" w:color="auto" w:fill="FFFFFF"/>
          <w14:textFill>
            <w14:solidFill>
              <w14:schemeClr w14:val="tx1"/>
            </w14:solidFill>
          </w14:textFill>
        </w:rPr>
        <w:t>Robles et al.</w:t>
      </w:r>
      <w:r>
        <w:rPr>
          <w:rFonts w:ascii="Times New Roman" w:hAnsi="Times New Roman" w:cs="Times New Roman"/>
          <w:color w:val="000000" w:themeColor="text1"/>
          <w:sz w:val="24"/>
          <w:szCs w:val="24"/>
          <w:shd w:val="clear" w:color="auto" w:fill="FFFFFF"/>
          <w14:textFill>
            <w14:solidFill>
              <w14:schemeClr w14:val="tx1"/>
            </w14:solidFill>
          </w14:textFill>
        </w:rPr>
        <w:fldChar w:fldCharType="begin"/>
      </w:r>
      <w:r>
        <w:rPr>
          <w:rFonts w:ascii="Times New Roman" w:hAnsi="Times New Roman" w:cs="Times New Roman"/>
          <w:color w:val="000000" w:themeColor="text1"/>
          <w:sz w:val="24"/>
          <w:szCs w:val="24"/>
          <w:shd w:val="clear" w:color="auto" w:fill="FFFFFF"/>
          <w14:textFill>
            <w14:solidFill>
              <w14:schemeClr w14:val="tx1"/>
            </w14:solidFill>
          </w14:textFill>
        </w:rPr>
        <w:instrText xml:space="preserve"> ADDIN ZOTERO_ITEM CSL_CITATION {"citationID":"VYSTp1RM","properties":{"formattedCitation":"\\super 11\\nosupersub{}","plainCitation":"11","noteIndex":0},"citationItems":[{"id":102,"uris":["http://zotero.org/users/11989680/items/4FEYI3SR"],"itemData":{"id":102,"type":"article-journal","abstract":"Introduction: Anemia affects more than one billion people worldwide, with pregnant women and children under five years of age comprising the vast majority of those afflicted. The development of anemia is multifactorial and could stem from a variety of factors. Nutritional deficiencies especially iron, but also folate, vitamin B12, vitamin A, and protein appear to be the biggest factor. Diagnosing anemia in children under five years of age is of utmost importance because these nutrients are essential for their rapid phase of growth and development. Objective: The purpose of this study was to determine the prevalence of anemia in children under six years of age living in Dominica. Methods: This was a retrospective, descriptive study, examining the prevalence of anemia in preschool children, aged two to six years, living in Dominica from January 1, 2012 to December 31, 2015. All available medical records of the children were collected and analyzed using Stata version 14. There were no exclusion criteria. Results and discussion: A sample population of 635 children was included in our study. The majority of children was females (54.7%), at least 3.5 years old (60.6%), and attended preschool in the parish of Saint George (58.7%). Our study determined that the prevalence of anemia was 19.3%. Additionally, we found that 22% of anemic children had a mean corpuscular volume below 75 fL, and 78% of anemic children had a mean corpuscular volume between 76 fL and 99 fL. Conclusion: The data in this study demonstrated that childhood anemia in Dominica is widely prevalent, and represents a public health issue that needs to be addressed. According to our data, 22% of anemic children had a mean corpuscular volume below 75 fL indicating a microcytic anemia. Microcytic anemia could suggest diseases such as iron deficiency and thalassemia among many other causes. Additionally, 78% of anemic children had a mean corpuscular volume between 76 fL and 99 fL indicating a normocytic anemia. Normocytic anemia could suggest chronic disease and sickle cell anemia among many others. Due to limited resources, we were unable to determine the specific cause of anemia; however, future studies should be conducted so that strategies could be developed, on a national level, to resolve this childhood burden.","container-title":"Journal of Pediatric Care","DOI":"10.21767/2471-805X.100033","ISSN":"2471- 805X","issue":"3","language":"en","note":"publisher: iMedPub","source":"pediatrics.imedpub.com","title":"Prevalence of Anemia in Preschool Aged Children Living in Dominica","URL":"https://pediatrics.imedpub.com/abstract/prevalence-of-anemia-in-preschool-aged-children-living-in-dominica-20216.html","volume":"3","author":[{"family":"Robles","given":"Brittany Noel"},{"family":"James","given":"Adelbert B."},{"family":"Macri","given":"Raffaele"},{"family":"Xiong","given":"Mai"},{"family":"Jafri","given":"Sabeen"},{"family":"Vitale","given":"Alyssa"},{"family":"Beata","given":"Victoria"},{"family":"Faheem","given":"Sarah"},{"family":"McIntyre-Francis","given":"Rhonda"}],"accessed":{"date-parts":[["2023",7,5]]},"issued":{"date-parts":[["2017",8,15]]}}}],"schema":"https://github.com/citation-style-language/schema/raw/master/csl-citation.json"} </w:instrText>
      </w:r>
      <w:r>
        <w:rPr>
          <w:rFonts w:ascii="Times New Roman" w:hAnsi="Times New Roman" w:cs="Times New Roman"/>
          <w:color w:val="000000" w:themeColor="text1"/>
          <w:sz w:val="24"/>
          <w:szCs w:val="24"/>
          <w:shd w:val="clear" w:color="auto" w:fill="FFFFFF"/>
          <w14:textFill>
            <w14:solidFill>
              <w14:schemeClr w14:val="tx1"/>
            </w14:solidFill>
          </w14:textFill>
        </w:rPr>
        <w:fldChar w:fldCharType="separate"/>
      </w:r>
      <w:r>
        <w:rPr>
          <w:rFonts w:ascii="Times New Roman" w:hAnsi="Times New Roman" w:cs="Times New Roman"/>
          <w:sz w:val="24"/>
          <w:szCs w:val="24"/>
          <w:vertAlign w:val="superscript"/>
        </w:rPr>
        <w:t>11</w:t>
      </w:r>
      <w:r>
        <w:rPr>
          <w:rFonts w:ascii="Times New Roman" w:hAnsi="Times New Roman" w:cs="Times New Roman"/>
          <w:color w:val="000000" w:themeColor="text1"/>
          <w:sz w:val="24"/>
          <w:szCs w:val="24"/>
          <w:shd w:val="clear" w:color="auto" w:fill="FFFFFF"/>
          <w14:textFill>
            <w14:solidFill>
              <w14:schemeClr w14:val="tx1"/>
            </w14:solidFill>
          </w14:textFill>
        </w:rPr>
        <w:fldChar w:fldCharType="end"/>
      </w:r>
      <w:r>
        <w:rPr>
          <w:rFonts w:ascii="Times New Roman" w:hAnsi="Times New Roman" w:cs="Times New Roman"/>
          <w:color w:val="000000" w:themeColor="text1"/>
          <w:sz w:val="24"/>
          <w:szCs w:val="24"/>
          <w:shd w:val="clear" w:color="auto" w:fill="FFFFFF"/>
          <w14:textFill>
            <w14:solidFill>
              <w14:schemeClr w14:val="tx1"/>
            </w14:solidFill>
          </w14:textFill>
        </w:rPr>
        <w:t>, En su investigación titulada "Prevalencia de Anemia en Niños en Edad Preescolar que Residen en Dominica" realizada en Nueva York en 2017, se llevó a cabo un estudio descriptivo y retrospectivo. Se descubrió que el 22% de los niños anémicos presentaban un Volumen Corpuscular Medio (VCM) por debajo de 75 fl, lo que sugiere una anemia microcítica asociada a la posible carencia de hierro.</w:t>
      </w:r>
    </w:p>
    <w:p>
      <w:pPr>
        <w:pStyle w:val="27"/>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pPr>
        <w:pStyle w:val="27"/>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Una de las conclusiones más significativas del estudio fue que los niños con un nivel de Hematócrito (Hcto) inferior al 35% tenían una probabilidad 48 veces mayor de tener un valor de Hemoglobina (Hb) por debajo de 11.5 g/dl en comparación con los niños cuyo nivel de Hcto era igual o superior al 35% (valor de p &lt; 0.000; Odds Ratio [OR]: 48; Intervalo de Confianza al 95% [IC95%]: 16.4-192).</w:t>
      </w:r>
    </w:p>
    <w:p>
      <w:pPr>
        <w:pStyle w:val="27"/>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pPr>
        <w:pStyle w:val="27"/>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Además, se determinó que los niños con un VCM inferior a 75 fl tenían 2.6 veces más probabilidades de tener un valor de Hb por debajo de 11.5 g/dl en comparación con los niños cuyo VCM estaba en el rango de 76 fl a 99 fl (valor de p = 0.003; OR: 2.6; IC95%: 1.28-5.21). Esto sugiere una fuerte asociación entre el bajo VCM y la anemia en estos niños en edad preescolar que viven en Dominica.</w:t>
      </w:r>
    </w:p>
    <w:p>
      <w:pPr>
        <w:pStyle w:val="27"/>
        <w:spacing w:line="360" w:lineRule="auto"/>
        <w:jc w:val="both"/>
        <w:rPr>
          <w:rFonts w:ascii="Times New Roman" w:hAnsi="Times New Roman" w:eastAsia="Arial" w:cs="Times New Roman"/>
          <w:color w:val="000000" w:themeColor="text1"/>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sz w:val="24"/>
          <w:szCs w:val="24"/>
          <w:lang w:val="es-PE"/>
          <w14:textFill>
            <w14:solidFill>
              <w14:schemeClr w14:val="tx1"/>
            </w14:solidFill>
          </w14:textFill>
        </w:rPr>
      </w:pPr>
      <w:r>
        <w:rPr>
          <w:rFonts w:ascii="Times New Roman" w:hAnsi="Times New Roman" w:eastAsia="Arial" w:cs="Times New Roman"/>
          <w:color w:val="000000" w:themeColor="text1"/>
          <w:sz w:val="24"/>
          <w:szCs w:val="24"/>
          <w:lang w:val="es-PE"/>
          <w14:textFill>
            <w14:solidFill>
              <w14:schemeClr w14:val="tx1"/>
            </w14:solidFill>
          </w14:textFill>
        </w:rPr>
        <w:t>Riahi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PE"/>
          <w14:textFill>
            <w14:solidFill>
              <w14:schemeClr w14:val="tx1"/>
            </w14:solidFill>
          </w14:textFill>
        </w:rPr>
        <w:instrText xml:space="preserve"> ADDIN ZOTERO_ITEM CSL_CITATION {"citationID":"A3y9QUpF","properties":{"formattedCitation":"\\super 12\\nosupersub{}","plainCitation":"12","noteIndex":0},"citationItems":[{"id":24,"uris":["http://zotero.org/users/11989680/items/4WBL7FYT"],"itemData":{"id":24,"type":"article-journal","abstract":"OBJECTIVE: Anemia in infants is a common problem, with regular iron supplementation the suggested policy for prevention and control of anemia. The aim of this study was to determine the prevalence and the determining factors of anemia as well as the benefits of regular iron supplementation in 6- to 12-month-old children.\nDESIGN/SETTING/SUBJECTS: In this cross-sectional study, 897 children aged from 6 to 12 months cared for at the Tabas Health Centers, affiliated with Birjand University of Medical Sciences, South Khorasan, Iran, were enrolled in the study. Demographic and anthropometric data as well as the level of hemoglobin were collected through interviews and laboratory tests, respectively. Data analysis was performed using SPSS-22 and stata-13. Chi2, polychromic PCA, and logistic regression were used. The statistical significance level was 0.05.\nRESULT: The prevalence of anemia, according to the WHO criterion for hemoglobin, was 36.8% (95% CI, 33.6-40.0). Its prevalence showed a decreasing trend as age and duration of iron supplement increased. Each 1-month increase in infant age was associated with a decreased risk of anemia [OR=0.88 (95% CI, 0.80-0.98)]. Anemia was not significantly different between genders. Individuals in the highest category for parity (≥3) were at a 2.3-fold greater risk of anemia compared with the lowest category [OR=2.35 (95% CI, 1.43-3.84)]. In contrast, individuals in the highest category for maternal age (&gt;35 years) had a 62% lower risk of anemia compared with the reference category (&lt;25 years) [OR=0.38 (95% CI, 0.20-0.72)].\nCONCLUSION: Implementation of an iron supplementation plan in Iran has decreased anemia among 6- to 12-month-old children.","container-title":"Archives De Pediatrie: Organe Officiel De La Societe Francaise De Pediatrie","DOI":"10.1016/j.arcped.2019.08.007","ISSN":"1769-664X","issue":"6","journalAbbreviation":"Arch Pediatr","language":"eng","note":"PMID: 31521442","page":"347-351","source":"PubMed","title":"Prevalence and determinant factors of anemia in children aged 6-12 months after starting an iron supplement in the east of Iran","volume":"26","author":[{"family":"Riahi","given":"Seyed Mohammad"},{"family":"Mohammadi","given":"Maryam"},{"family":"Fakhri","given":"Yadolah"},{"family":"Pordanjani","given":"Sajjad Rahimi"},{"family":"Soleimani","given":"Farin"},{"family":"Saadati","given":"Hossein Mozafar"}],"issued":{"date-parts":[["2019",9]]}}}],"schema":"https://github.com/citation-style-language/schema/raw/master/csl-citation.json"}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12</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PE"/>
          <w14:textFill>
            <w14:solidFill>
              <w14:schemeClr w14:val="tx1"/>
            </w14:solidFill>
          </w14:textFill>
        </w:rPr>
        <w:t>, En el estudio titulado "Prevalencia y Factores Determinantes de la Anemia en Niños de 6 a 12 Meses Después de Iniciar un Suplemento de Hierro" realizado en el este de Irán en 2019, se llevó a cabo una investigación de tipo transversal que involucró a 897 niños que tenían entre 6 y 12 meses de edad y que fueron atendidos en los centros de salud de Tabas, Irán.. Para obtener datos demográficos, mediciones antropométricas y niveles de hemoglobina, se realizaron entrevistas y análisis de laboratorio. Los resultados revelaron que la prevalencia de anemia fue del 36.8% (con un intervalo de confianza del 95% entre el 33.6% y el 40.0%). Además, se observó una tendencia a la disminución de la anemia a medida que los niños crecían y recibían suplementos de hierro. Cada mes adicional de edad del lactante se asoció con un menor riesgo de anemia, con una Odds Ratio (OR) de 0.88 (IC del 95%: 0.80–0.98).</w:t>
      </w:r>
    </w:p>
    <w:p>
      <w:pPr>
        <w:pStyle w:val="27"/>
        <w:spacing w:line="360" w:lineRule="auto"/>
        <w:jc w:val="both"/>
        <w:rPr>
          <w:rFonts w:ascii="Times New Roman" w:hAnsi="Times New Roman" w:eastAsia="Arial" w:cs="Times New Roman"/>
          <w:color w:val="000000" w:themeColor="text1"/>
          <w:sz w:val="24"/>
          <w:szCs w:val="24"/>
          <w:lang w:val="es-PE"/>
          <w14:textFill>
            <w14:solidFill>
              <w14:schemeClr w14:val="tx1"/>
            </w14:solidFill>
          </w14:textFill>
        </w:rPr>
      </w:pPr>
      <w:r>
        <w:rPr>
          <w:rFonts w:ascii="Times New Roman" w:hAnsi="Times New Roman" w:eastAsia="Arial" w:cs="Times New Roman"/>
          <w:color w:val="000000" w:themeColor="text1"/>
          <w:sz w:val="24"/>
          <w:szCs w:val="24"/>
          <w:lang w:val="es-PE"/>
          <w14:textFill>
            <w14:solidFill>
              <w14:schemeClr w14:val="tx1"/>
            </w14:solidFill>
          </w14:textFill>
        </w:rPr>
        <w:t>En resumen, este estudio encontró que la anemia era bastante prevalente en niños de 6 a 12 meses en el este de Irán, pero también sugiere que la administración de suplementos de hierro y el crecimiento del niño estaban relacionados con un menor riesgo de desarrollar anemia en esta población.</w:t>
      </w:r>
    </w:p>
    <w:p>
      <w:pPr>
        <w:spacing w:line="360" w:lineRule="auto"/>
        <w:jc w:val="both"/>
        <w:rPr>
          <w:rFonts w:ascii="Times New Roman" w:hAnsi="Times New Roman" w:eastAsia="Arial" w:cs="Times New Roman"/>
          <w:color w:val="000000" w:themeColor="text1"/>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Donato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{"citationID":"iv9isw1y","properties":{"formattedCitation":"\\super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7</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En la guía titulada "Deficiencia de Hierro y Anemia Ferropénica: Guía para la Prevención, Diagnóstico y Tratamiento" elaborada en Argentina en 2017, se destaca que la deficiencia de hierro es la causa principal de anemia en los niños, particularmente en aquellos en edad preescolar. En Argentina, se observa una prevalencia cercana al 35% de anemia en menores de 24 meses debido a esta deficiencia de hierro. </w:t>
      </w:r>
      <w:r>
        <w:rPr>
          <w:rFonts w:ascii="Times New Roman" w:hAnsi="Times New Roman" w:eastAsia="Arial" w:cs="Times New Roman"/>
          <w:color w:val="000000" w:themeColor="text1"/>
          <w14:textFill>
            <w14:solidFill>
              <w14:schemeClr w14:val="tx1"/>
            </w14:solidFill>
          </w14:textFill>
        </w:rPr>
        <w:t>El documento enfatiza la importancia de la detección temprana, la profilaxis adecuada y el tratamiento efectivo de la deficiencia de hierro y la anemia. Con este objetivo en mente, la guía proporciona una definición de la anemia basada en la edad cronológica del niño, su edad gestacional y el entorno en el que se encuentra. Además, se identifican las principales causas de la deficiencia de hierro y se brindan pautas detalladas para el diagnóstico preciso, incluyendo diagnósticos diferenciales, así como para el tratamiento, la prevención y la búsqueda activa de casos.</w:t>
      </w:r>
    </w:p>
    <w:p>
      <w:pPr>
        <w:pStyle w:val="27"/>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En resumen, esta guía tiene como propósito abordar de manera integral la deficiencia de hierro y la anemia ferropénica en niños en Argentina, proporcionando orientación tanto para los profesionales de la salud como para los cuidadores de los niños.</w:t>
      </w:r>
    </w:p>
    <w:p>
      <w:pPr>
        <w:pStyle w:val="27"/>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Clark,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{"citationID":"sB049dxs","properties":{"formattedCitation":"\\super 13\\nosupersub{}","plainCitation":"13","noteIndex":0},"citationItems":[{"id":21,"uris":["http://zotero.org/users/11989680/items/UTH8LHSQ"],"itemData":{"id":21,"type":"article-journal","abstract":"OBJECTIVE: To assess associations between breastfeeding and iron status at 9 months of age in 2 samples of Chinese infants.\nSTUDY DESIGN: Associations between feeding at 9 months of age (breastfed as sole milk source, mixed fed, or formula fed) and iron deficiency anemia (IDA), iron deficiency, and iron sufficiency were determined in infants from Zhejiang (n = 142) and Hebei (n= 813) provinces. Iron deficiency was defined as body iron &lt; 0 mg/kg, and IDA as iron deficiency + hemoglobin &lt; 110 g/L. Multiple logistic regression assessed associations between feeding pattern and iron status.\nRESULTS: Breastfeeding was associated with iron status (P &lt; .001). In Zhejiang, 27.5% of breastfed infants had IDA compared with 0% of formula-fed infants. The odds of iron deficiency/IDA were increased in breastfed and mixed-fed infants compared with formula-fed infants: breastfed vs formula-fed OR, 28.8 (95% CI, 3.7-226.4) and mixed-fed vs formula-fed OR, 11.0 (95% CI, 1.2-103.2). In Hebei, 44.0% of breastfed infants had IDA compared with 2.8% of formula-fed infants. With covariable adjustment, odds of IDA were increased in breastfed and mixed-fed groups: breastfed vs formula-fed OR, 78.8 (95% CI, 27.2-228.1) and mixed-fed vs formula-fed OR, 21.0 (95% CI, 7.3-60.9).\nCONCLUSIONS: In both cohorts, the odds of iron deficiency/IDA at 9 months of age were increased in breastfed and mixed-fed infants, and iron deficiency/IDA was common. Although the benefits of breastfeeding are indisputable, these findings add to the evidence that breastfeeding in later infancy identifies infants at risk for iron deficiency/IDA in many settings. Protocols for detecting and preventing iron deficiency/IDA in breastfed infants are needed.\nTRIAL REGISTRATION: ClinicalTrials.gov: NCT00642863 and NCT00613717.","container-title":"The Journal of Pediatrics","DOI":"10.1016/j.jpeds.2016.10.041","ISSN":"1097-6833","journalAbbreviation":"J Pediatr","language":"eng","note":"PMID: 27836288\nPMCID: PMC5274569","page":"56-61","source":"PubMed","title":"Breastfeeding, Mixed, or Formula Feeding at 9 Months of Age and the Prevalence of Iron Deficiency and Iron Deficiency Anemia in Two Cohorts of Infants in China","volume":"181","author":[{"family":"Clark","given":"Katy M."},{"family":"Li","given":"Ming"},{"family":"Zhu","given":"Bingquan"},{"family":"Liang","given":"Furong"},{"family":"Shao","given":"Jie"},{"family":"Zhang","given":"Yueyang"},{"family":"Ji","given":"Chai"},{"family":"Zhao","given":"Zhengyan"},{"family":"Kaciroti","given":"Niko"},{"family":"Lozoff","given":"Betsy"}],"issued":{"date-parts":[["2017",2]]}}}],"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13</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En el artículo “Breastfeeding, mixed or formula feeding at 9 months and the prevalence of iron deficiency and iron deficiency anemia in two cohorts of infants” realizado en China, 2016. Mencionan que la alimentación mediante lactancia materna exclusiva (LME) está totalmente relacionada a los índices de hierro en los infantes. En Zhejiang, 27.5% de los infantes quienes ingirieron lactancia materna exclusiva tuvieron anemia por deficiencia de hierro comparada al 0% de los infantes quienes consumieron formula. Los porcentajes de deficiencia de hierro y anemia por deficiencia de hierro fueron siempre similares en presencia de LME y en alimentación mixta (MA). En ambas cohortes la anemia por deficiencia de hierro se incremento en LME y en MA. </w:t>
      </w:r>
      <w:r>
        <w:rPr>
          <w:rFonts w:ascii="Times New Roman" w:hAnsi="Times New Roman" w:eastAsia="Arial" w:cs="Times New Roman"/>
          <w:color w:val="000000" w:themeColor="text1"/>
          <w:sz w:val="24"/>
          <w:szCs w:val="24"/>
          <w:lang w:val="es-MX"/>
          <w14:textFill>
            <w14:solidFill>
              <w14:schemeClr w14:val="tx1"/>
            </w14:solidFill>
          </w14:textFill>
        </w:rPr>
        <w:t>OR alimentados con leche materna frente a alimentados con fórmula, 28.8 (IC del 95%: 3.7-226.4) y OR con alimentación mixta frente a alimentados con fórmula, 11,0 (IC95%: 1.2-103.2).</w:t>
      </w:r>
      <w:r>
        <w:rPr>
          <w:rFonts w:ascii="Times New Roman" w:hAnsi="Times New Roman" w:eastAsia="Arial" w:cs="Times New Roman"/>
          <w:color w:val="000000" w:themeColor="text1"/>
          <w:sz w:val="24"/>
          <w:szCs w:val="24"/>
          <w14:textFill>
            <w14:solidFill>
              <w14:schemeClr w14:val="tx1"/>
            </w14:solidFill>
          </w14:textFill>
        </w:rPr>
        <w:t xml:space="preserve"> Si bien es cierto que hay gran evidencia relacionada a la LME y sus beneficios, también se puede observar que la ingesta única de la misma conlleva a un riesgo a presentar anemia por deficiencia de hierro.</w:t>
      </w:r>
    </w:p>
    <w:p>
      <w:pPr>
        <w:pStyle w:val="27"/>
        <w:spacing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sz w:val="24"/>
          <w:szCs w:val="24"/>
          <w:lang w:val="es-MX"/>
          <w14:textFill>
            <w14:solidFill>
              <w14:schemeClr w14:val="tx1"/>
            </w14:solidFill>
          </w14:textFill>
        </w:rPr>
        <w:t>Licona T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MX"/>
          <w14:textFill>
            <w14:solidFill>
              <w14:schemeClr w14:val="tx1"/>
            </w14:solidFill>
          </w14:textFill>
        </w:rPr>
        <w:instrText xml:space="preserve"> ADDIN ZOTERO_ITEM CSL_CITATION {"citationID":"fwuyKyXq","properties":{"formattedCitation":"\\super 14\\nosupersub{}","plainCitation":"14","noteIndex":0},"citationItems":[{"id":110,"uris":["http://zotero.org/users/11989680/items/U4GWILEM"],"itemData":{"id":110,"type":"article-journal","language":"es","source":"Zotero","title":"Incidencia de parasitosis intestinal en escolares que residen en los bordos de San Pedro Sula, Cortés, Honduras","volume":"40","author":[{"family":"Galo","given":"Valle"},{"family":"Mejía","given":"Martínez"}],"issued":{"date-parts":[["2020"]]}}}],"schema":"https://github.com/citation-style-language/schema/raw/master/csl-citation.json"}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14</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MX"/>
          <w14:textFill>
            <w14:solidFill>
              <w14:schemeClr w14:val="tx1"/>
            </w14:solidFill>
          </w14:textFill>
        </w:rPr>
        <w:t>., en la revisión “</w:t>
      </w:r>
      <w:r>
        <w:rPr>
          <w:rFonts w:ascii="Times New Roman" w:hAnsi="Times New Roman" w:cs="Times New Roman"/>
          <w:sz w:val="24"/>
          <w:szCs w:val="24"/>
        </w:rPr>
        <w:t>Incidencia de parasitosis intestinal en escolares que residen en los bordos de San Pedro Sula</w:t>
      </w:r>
      <w:r>
        <w:rPr>
          <w:rFonts w:ascii="Times New Roman" w:hAnsi="Times New Roman" w:eastAsia="Arial" w:cs="Times New Roman"/>
          <w:color w:val="000000" w:themeColor="text1"/>
          <w:sz w:val="24"/>
          <w:szCs w:val="24"/>
          <w:lang w:val="es-MX"/>
          <w14:textFill>
            <w14:solidFill>
              <w14:schemeClr w14:val="tx1"/>
            </w14:solidFill>
          </w14:textFill>
        </w:rPr>
        <w:t>”, en Honduras, en el año 2019</w:t>
      </w:r>
      <w:r>
        <w:rPr>
          <w:rFonts w:ascii="Times New Roman" w:hAnsi="Times New Roman" w:eastAsia="Arial" w:cs="Times New Roman"/>
          <w:color w:val="000000" w:themeColor="text1"/>
          <w:sz w:val="24"/>
          <w:szCs w:val="24"/>
          <w14:textFill>
            <w14:solidFill>
              <w14:schemeClr w14:val="tx1"/>
            </w14:solidFill>
          </w14:textFill>
        </w:rPr>
        <w:t xml:space="preserve">. </w:t>
      </w:r>
      <w:r>
        <w:rPr>
          <w:rFonts w:ascii="Times New Roman" w:hAnsi="Times New Roman" w:eastAsia="Arial" w:cs="Times New Roman"/>
          <w:color w:val="000000" w:themeColor="text1"/>
          <w:sz w:val="24"/>
          <w:szCs w:val="24"/>
          <w:lang w:val="es-MX"/>
          <w14:textFill>
            <w14:solidFill>
              <w14:schemeClr w14:val="tx1"/>
            </w14:solidFill>
          </w14:textFill>
        </w:rPr>
        <w:t>En el estudio titulado "Prevalencia y Factores Determinantes de la Anemia en Niños de 6 a 12 Meses Después de Iniciar un Suplemento de Hierro" realizado en el este de Irán en 2019, se llevó a cabo una investigación de tipo transversal que involucró a 897 niños que tenían entre 6 y 12 meses de edad y que fueron atendidos en los centros de salud de Tabas, Irán.</w:t>
      </w:r>
    </w:p>
    <w:p>
      <w:pPr>
        <w:pStyle w:val="27"/>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Para obtener datos demográficos, mediciones antropométricas y niveles de hemoglobina, se realizaron entrevistas y análisis de laboratorio. Los resultados revelaron que la prevalencia de anemia fue del 36.8% (con un intervalo de confianza del 95% entre el 33.6% y el 40.0%). Además, se observó una tendencia a la disminución de la anemia a medida que los niños crecían y recibían suplementos de hierro. Cada mes adicional de edad del lactante se asoció con un menor riesgo de anemia, con una Odds Ratio (OR) de 0.88 (IC del 95%: 0.80–0.98).</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En resumen, este estudio encontró que la anemia era bastante prevalente en niños de 6 a 12 meses en el este de Irán, pero también sugiere que la administración de suplementos de hierro y el crecimiento del niño estaban relacionados con un menor riesgo de desarrollar anemia en esta población.</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Leal LP et 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{"citationID":"XqZj4Cjn","properties":{"formattedCitation":"\\super 15\\nosupersub{}","plainCitation":"15","noteIndex":0},"citationItems":[{"id":27,"uris":["http://zotero.org/users/11989680/items/WCSNDEQF"],"itemData":{"id":27,"type":"article-journal","abstract":"OBJETIVO: Estimar a prevalência de anemia e identificar seus fatores associados em crianças de seis a 59 meses. MÉTODOS: Estudo transversal com dados da III Pesquisa Estadual de Saúde e Nutrição/Pernambuco em amostra representativa de 1.403 crianças para as áreas urbana e rural. A anemia foi diagnosticada pela dosagem da hemoglobina. A análise multivariada foi realizada a partir de um modelo hierárquico, utilizando a regressão de Poisson, com variância robusta para estimar a razão de prevalência em função de variáveis: biológicas, de morbidade e estado nutricional da criança, socioeconômicas, de habitação, de saneamento e fatores maternos. RESULTADOS: A prevalência ponderada de anemia foi de 32,8%: 31,5% na área urbana e 36,6% na rural. Na área urbana, as variáveis que se associaram significantemente à anemia foram: escolaridade materna, bens de consumo, número de crianças menores de cinco anos no domicílio, tratamento da água de beber, idade e anemia materna e idade da criança. Na área rural, apenas a idade materna e a idade da criança associaram-se de modo significante à anemia. CONCLUSÕES: A prevalência de anemia nas crianças pernambucanas é semelhante nas áreas urbana e rural. Os fatores associados à anemia apresentados devem ser considerados no planejamento de medidas efetivas para o seu controle.","container-title":"Revista de Saúde Pública","DOI":"10.1590/S0034-89102011000300003","ISSN":"0034-8910, 1518-8787","journalAbbreviation":"Rev. Saúde Pública","language":"es","note":"publisher: Faculdade de Saúde Pública da Universidade de São Paulo","page":"457-466","source":"SciELO","title":"Prevalencia de la anemia y factores asociados en niños de seis a 59 meses de Pernambuco, Noreste de Brasil","volume":"45","author":[{"family":"Leal","given":"Luciana Pedrosa"},{"family":"Batista Filho","given":"Malaquias"},{"family":"Lira","given":"Pedro Israel Cabral","dropping-particle":"de"},{"family":"Figueiroa","given":"José Natal"},{"family":"Osório","given":"Mônica Maria"}],"issued":{"date-parts":[["2011",6]]}}}],"schema":"https://github.com/citation-style-language/schema/raw/master/csl-citation.json"}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szCs w:val="24"/>
          <w:vertAlign w:val="superscript"/>
        </w:rPr>
        <w:t>15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En el estudio titulado "Prevalencia de la Anemia y Factores Asociados en Niños de Seis a 59 Meses de Pernambuco" llevado a cabo en el noreste de Brasil en 2016, Leal LP y colaboradores realizaron una investigación de tipo transversal utilizando datos secundarios de la Tercera Encuesta de Salud y Nutrición del Estado de Pernambuco. En este estudio se incluyeron a 1,403 niños con edades comprendidas entre los 6 y 59 meses, con el objetivo de calcular la prevalencia de la anemia y determinar los factores relacionados con ella en esta población.</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Los resultados del estudio revelaron que la prevalencia de la anemia en estos niños fue del 32.8%. Se encontró una asociación significativa entre la anemia y las áreas rurales, así como con la edad tanto de la madre como del niño. En las áreas urbanas, además de estas asociaciones, la anemia también estuvo relacionada con el nivel de educación de la madre, el número de niños en el hogar, la calidad del agua para el consumo y la presencia de anemia en la madre.</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Estos hallazgos subrayan la importancia de abordar la anemia infantil en Pernambuco, y destacan cómo factores como el entorno rural, la edad de la madre y el niño, la educación materna, la calidad del agua y la salud de la madre están relacionados con la prevalencia de la anemia en esta región del noreste de Brasil.</w:t>
      </w:r>
      <w:r>
        <w:rPr>
          <w:rFonts w:ascii="Times New Roman" w:hAnsi="Times New Roman" w:eastAsia="Arial" w:cs="Times New Roman"/>
          <w:color w:val="000000" w:themeColor="text1"/>
          <w:sz w:val="24"/>
          <w:szCs w:val="24"/>
          <w:lang w:val="es-MX"/>
          <w14:textFill>
            <w14:solidFill>
              <w14:schemeClr w14:val="tx1"/>
            </w14:solidFill>
          </w14:textFill>
        </w:rPr>
        <w:t>Alfonso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MX"/>
          <w14:textFill>
            <w14:solidFill>
              <w14:schemeClr w14:val="tx1"/>
            </w14:solidFill>
          </w14:textFill>
        </w:rPr>
        <w:instrText xml:space="preserve"> ADDIN ZOTERO_ITEM CSL_CITATION {"citationID":"cUBisN22","properties":{"formattedCitation":"\\super 16\\nosupersub{}","plainCitation":"16","noteIndex":0},"citationItems":[{"id":31,"uris":["http://zotero.org/users/11989680/items/BUK82FWZ"],"itemData":{"id":31,"type":"article-journal","abstract":"En el mundo existen alrededor de 293 millones de niños menores de cinco años con anemia, que representan alrededor del 47% de niños en países de bajos y medianos ingresos 1; esta enfermedad seria causada, principalmente, por deficiencia de hierro, se considera como un problema de salud pública generalizado que tiene consecuencias de gran alcance para la salud humana, para el desarrollo social y económico, dentro de esta afectación la de mayor prevalencia es la anemia ferropénica 2, Según la Organización Mundial de la Salud (OMS), esta presenta una prevalencia de 48.8% a nivel mundial, en población latinoamericana la prevalencia es del 58%; se estima que Colombia tiene una prevalencia entre el 20% y 39.9% de la población 3. en esta investigación se realizará una recopilación y organización de información bibliográfica de centros de documentación como bases de datos y de revistas indexadas de factores asociados a la deficiencia de hierro en niños colombianos.","container-title":"Biociencias","ISSN":"2619-4759","issue":"3","language":"es","license":"Derechos de autor 2018 Biociencias","note":"number: 3","source":"hemeroteca.unad.edu.co","title":"Anemia ferropénica en la población escolar de Colombia. Una revisión de la literatura","URL":"https://hemeroteca.unad.edu.co/index.php/Biociencias/article/view/2236","volume":"1","author":[{"family":"Alfonso","given":"L."},{"family":"Arango","given":"D."},{"family":"Argoty","given":"D."},{"family":"Ramírez","given":"L."},{"family":"Rodríguez","given":"J."}],"accessed":{"date-parts":[["2022",11,28]]},"issued":{"date-parts":[["2017"]]}}}],"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16</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MX"/>
          <w14:textFill>
            <w14:solidFill>
              <w14:schemeClr w14:val="tx1"/>
            </w14:solidFill>
          </w14:textFill>
        </w:rPr>
        <w:t>, en su artículo llamado “Anemia ferropénica en la población escolar de Colombia. Una revisión de la literatura” en el país de Colombia, 2017.</w:t>
      </w:r>
      <w:r>
        <w:rPr>
          <w:rFonts w:ascii="Times New Roman" w:hAnsi="Times New Roman" w:eastAsia="Arial" w:cs="Times New Roman"/>
          <w:color w:val="000000" w:themeColor="text1"/>
          <w:sz w:val="24"/>
          <w:szCs w:val="24"/>
          <w14:textFill>
            <w14:solidFill>
              <w14:schemeClr w14:val="tx1"/>
            </w14:solidFill>
          </w14:textFill>
        </w:rPr>
        <w:t xml:space="preserve"> </w:t>
      </w:r>
      <w:r>
        <w:rPr>
          <w:rFonts w:ascii="Times New Roman" w:hAnsi="Times New Roman" w:eastAsia="Arial" w:cs="Times New Roman"/>
          <w:color w:val="000000" w:themeColor="text1"/>
          <w:sz w:val="24"/>
          <w:szCs w:val="24"/>
          <w:lang w:val="es-MX"/>
          <w14:textFill>
            <w14:solidFill>
              <w14:schemeClr w14:val="tx1"/>
            </w14:solidFill>
          </w14:textFill>
        </w:rPr>
        <w:t>Alrededor del planeta existen 293 millones de menores a 5 años con anemia ubicados en un 47% en países de bajos y medianos ingresos. Esta patología es producida por la carencia de hierro y se considera como un problema de salud pública global que tiene consecuencias inmensas para la salud humana, desarrollo social y económico. Según la OMS la prevalencia en países latinoamericanos es de 58%; se estima que en Colombia la prevalencia esta entre 20% 39.9% de la población. En esta investigación se realizará una recopilación y organización de información bibliográfica de centros de documentación como bases de datos y de revistas indexadas de factores asociados a la deficiencia de hierro en niños colombianos.</w:t>
      </w:r>
    </w:p>
    <w:p>
      <w:pPr>
        <w:pStyle w:val="27"/>
        <w:numPr>
          <w:ilvl w:val="0"/>
          <w:numId w:val="3"/>
        </w:numPr>
        <w:spacing w:before="240" w:after="60" w:line="360" w:lineRule="auto"/>
        <w:jc w:val="both"/>
        <w:rPr>
          <w:rFonts w:ascii="Times New Roman" w:hAnsi="Times New Roman" w:cs="Times New Roman"/>
          <w:sz w:val="24"/>
          <w:szCs w:val="24"/>
        </w:rPr>
      </w:pPr>
      <w:r>
        <w:rPr>
          <w:rFonts w:ascii="Times New Roman" w:hAnsi="Times New Roman" w:eastAsia="Arial" w:cs="Times New Roman"/>
          <w:color w:val="000000" w:themeColor="text1"/>
          <w:sz w:val="24"/>
          <w:szCs w:val="24"/>
          <w14:textFill>
            <w14:solidFill>
              <w14:schemeClr w14:val="tx1"/>
            </w14:solidFill>
          </w14:textFill>
        </w:rPr>
        <w:t>J</w:t>
      </w:r>
      <w:r>
        <w:rPr>
          <w:rFonts w:ascii="Times New Roman" w:hAnsi="Times New Roman" w:cs="Times New Roman"/>
          <w:sz w:val="24"/>
          <w:szCs w:val="24"/>
        </w:rPr>
        <w:t>ullien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{"citationID":"hBJiWbGf","properties":{"formattedCitation":"\\super 17\\nosupersub{}","plainCitation":"17","noteIndex":0},"citationItems":[{"id":106,"uris":["http://zotero.org/users/11989680/items/3D6PHLTH"],"itemData":{"id":106,"type":"article-journal","abstract":"We looked at existing recommendations and supporting evidence on the effectiveness of universal screening of iron deficiency anaemia (IDA) in children under five years of age for improving growth, cognitive function, and psychomotor development. We assessed the accuracy of the screening tests for detecting IDA, the efficacy of existing treatment for children with IDA, and the potential harms associated with screening and treatment., We conducted a literature search up to the 18th of August 2019 by using key terms and manual search in selected sources. We summarized the recommendations and the strength of the recommendation when and as reported by the authors. We summarized the main findings of systematic reviews with the certainty of the evidence as reported., There is no suitable test for IDA screening that is non-invasive with high accuracy for detecting IDA and there is uncertainty whether IDA in children causes cognitive and psychomotor delays. There is a lack of evidence on the effects of routine screening for IDA in asymptomatic children under five years of age on growth, cognitive and psychomotor development outcomes., Universal screening of IDA in children under five years of age is not recommended by most organisations such as the Spanish Association of Primary Care Paediatrics, the United Kingdom National Screening Committee, and the United States Preventive Services Task Force, but is recommended by the American Academy of Paediatrics. However, selective screening of IDA is recommended in infants and children with risk factors including prematurity, low birth weight, and dietary risk factors.","container-title":"BMC Pediatrics","DOI":"10.1186/s12887-021-02725-w","ISSN":"1471-2431","issue":"Suppl 1","journalAbbreviation":"BMC Pediatr","note":"PMID: 34496786\nPMCID: PMC8424788","page":"337","source":"PubMed Central","title":"Screening of iron deficiency anaemia in early childhood","volume":"21","author":[{"family":"Jullien","given":"Sophie"}],"issued":{"date-parts":[["2021",9,8]]}}}],"schema":"https://github.com/citation-style-language/schema/raw/master/csl-citation.json"}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17</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9" w:name="_Toc1740938411"/>
      <w:bookmarkStart w:id="20" w:name="_Toc145737796"/>
      <w:r>
        <w:rPr>
          <w:rFonts w:ascii="Times New Roman" w:hAnsi="Times New Roman" w:cs="Times New Roman"/>
          <w:sz w:val="24"/>
          <w:szCs w:val="24"/>
        </w:rPr>
        <w:t>En la revisión titulada "Screening of Iron Deficiency Anaemia in Early Childhood" del año 2021, se aborda la recomendación de la Academia Estadounidense de Pediatría con respecto al cribado de anemia ferropénica en la población infantil menor de cinco años. La Academia Estadounidense de Pediatría sugiere la realización de un cribado universal de anemia ferropénica en esta población con el propósito de mejorar el crecimiento, la función cognitiva y el desarrollo psicomotor de los niños.</w:t>
      </w:r>
    </w:p>
    <w:p>
      <w:pPr>
        <w:pStyle w:val="27"/>
        <w:spacing w:before="240" w:after="60" w:line="360" w:lineRule="auto"/>
        <w:jc w:val="both"/>
        <w:rPr>
          <w:rFonts w:ascii="Times New Roman" w:hAnsi="Times New Roman" w:cs="Times New Roman"/>
          <w:sz w:val="24"/>
          <w:szCs w:val="24"/>
        </w:rPr>
      </w:pPr>
      <w:r>
        <w:rPr>
          <w:rFonts w:ascii="Times New Roman" w:hAnsi="Times New Roman" w:cs="Times New Roman"/>
        </w:rPr>
        <w:t>Sin embargo, cabe mencionar que existe cierta controversia en cuanto a la implementación de este cribado universal debido a diferencias en la opinión de expertos y enfoques regionales de atención médica. En este contexto, la revisión señala que, al menos, se recomienda llevar a cabo un tamizaje selectivo de anemia ferropénica en lactantes y niños que presenten factores de riesgo, como la prematuridad, el bajo peso al nacer y factores de riesgo dietéticos.</w:t>
      </w:r>
    </w:p>
    <w:p>
      <w:pPr>
        <w:pStyle w:val="27"/>
        <w:spacing w:before="240" w:after="60" w:line="360" w:lineRule="auto"/>
        <w:jc w:val="both"/>
        <w:rPr>
          <w:rFonts w:ascii="Times New Roman" w:hAnsi="Times New Roman" w:cs="Times New Roman"/>
        </w:rPr>
      </w:pPr>
      <w:r>
        <w:rPr>
          <w:rFonts w:ascii="Times New Roman" w:hAnsi="Times New Roman" w:cs="Times New Roman"/>
        </w:rPr>
        <w:t>Esta recomendación de cribado selectivo se basa en la idea de identificar a los niños que tienen un mayor riesgo de desarrollar anemia ferropénica y, por lo tanto, podrían beneficiarse más de la intervención temprana y el tratamiento. En resumen, mientras que la Academia Estadounidense de Pediatría aboga por el cribado universal, se reconoce la importancia de al menos realizar un tamizaje selectivo en grupos de riesgo para prevenir y abordar la anemia ferropénica en la población infantil</w:t>
      </w:r>
    </w:p>
    <w:p>
      <w:pPr>
        <w:pStyle w:val="27"/>
        <w:spacing w:before="240" w:after="60" w:line="360" w:lineRule="auto"/>
        <w:jc w:val="both"/>
        <w:rPr>
          <w:rFonts w:ascii="Times New Roman" w:hAnsi="Times New Roman" w:cs="Times New Roman"/>
        </w:rPr>
      </w:pPr>
    </w:p>
    <w:p>
      <w:pPr>
        <w:pStyle w:val="27"/>
        <w:spacing w:before="240" w:after="60" w:line="360" w:lineRule="auto"/>
        <w:jc w:val="both"/>
        <w:rPr>
          <w:rFonts w:ascii="Times New Roman" w:hAnsi="Times New Roman" w:cs="Times New Roman"/>
        </w:rPr>
      </w:pPr>
    </w:p>
    <w:p>
      <w:pPr>
        <w:pStyle w:val="27"/>
        <w:spacing w:before="240" w:after="60" w:line="360" w:lineRule="auto"/>
        <w:jc w:val="both"/>
        <w:rPr>
          <w:rFonts w:ascii="Times New Roman" w:hAnsi="Times New Roman" w:eastAsia="Arial" w:cs="Times New Roman"/>
          <w:b/>
          <w:bCs/>
          <w:color w:val="000000" w:themeColor="text1"/>
          <w:lang w:val="es-MX"/>
          <w14:textFill>
            <w14:solidFill>
              <w14:schemeClr w14:val="tx1"/>
            </w14:solidFill>
          </w14:textFill>
        </w:rPr>
      </w:pPr>
      <w:r>
        <w:rPr>
          <w:rFonts w:ascii="Times New Roman" w:hAnsi="Times New Roman" w:cs="Times New Roman"/>
        </w:rPr>
        <w:t>.</w:t>
      </w:r>
      <w:r>
        <w:rPr>
          <w:rFonts w:ascii="Times New Roman" w:hAnsi="Times New Roman" w:eastAsia="Arial" w:cs="Times New Roman"/>
          <w:b/>
          <w:bCs/>
          <w:color w:val="000000" w:themeColor="text1"/>
          <w:lang w:val="es-MX"/>
          <w14:textFill>
            <w14:solidFill>
              <w14:schemeClr w14:val="tx1"/>
            </w14:solidFill>
          </w14:textFill>
        </w:rPr>
        <w:t>2.1.2 Antecedentes Nacionales</w:t>
      </w:r>
      <w:bookmarkEnd w:id="19"/>
      <w:bookmarkEnd w:id="20"/>
    </w:p>
    <w:p>
      <w:pPr>
        <w:pStyle w:val="27"/>
        <w:spacing w:before="240" w:after="60" w:line="360" w:lineRule="auto"/>
        <w:jc w:val="both"/>
        <w:rPr>
          <w:rFonts w:ascii="Times New Roman" w:hAnsi="Times New Roman" w:cs="Times New Roman"/>
          <w:sz w:val="24"/>
          <w:szCs w:val="24"/>
        </w:rPr>
      </w:pPr>
    </w:p>
    <w:p>
      <w:pPr>
        <w:pStyle w:val="27"/>
        <w:numPr>
          <w:ilvl w:val="0"/>
          <w:numId w:val="3"/>
        </w:numPr>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sz w:val="24"/>
          <w:szCs w:val="24"/>
          <w:lang w:val="es-MX"/>
          <w14:textFill>
            <w14:solidFill>
              <w14:schemeClr w14:val="tx1"/>
            </w14:solidFill>
          </w14:textFill>
        </w:rPr>
        <w:t>Mallqui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MX"/>
          <w14:textFill>
            <w14:solidFill>
              <w14:schemeClr w14:val="tx1"/>
            </w14:solidFill>
          </w14:textFill>
        </w:rPr>
        <w:instrText xml:space="preserve"> ADDIN ZOTERO_ITEM CSL_CITATION {"citationID":"SNVddIRb","properties":{"formattedCitation":"\\super 18\\nosupersub{}","plainCitation":"18","noteIndex":0},"citationItems":[{"id":112,"uris":["http://zotero.org/users/11989680/items/JAMLPQQ6"],"itemData":{"id":112,"type":"article-journal","abstract":"General objective: To determine the factors of risk associated with the iron deficiency anemia in the 5-year-old minor children who are present at the service of Growth and Development of the Center of Health Aparicio Pomares - Huánuco 2018. Methods: There was realized an analytical relational study in 62 five-year-old minor children, using a questionnaire of factors of risk and a card of documentary analysis in the compilation of the information; in the analysis inferential the test of the Chi Cuadrado’s was in use with a level of significanciap≤0,05. Results: The 45,2 % of evaluated children presented iron deficiency anemia. The factors of risk that were associated with the iron deficiency anemia were to be of rural origin (p=0,014); under mother degree of education (p=0,001); under economic monthly revenue (p=0,029); occupation of the mother out of the home (p=0,003); inadequate mother exclusive lactation (p=0,050); deficient consumption of rich food in iron (p=0,002); inadequate consumption of citric refreshments (p=0,004); deficient consumption of fruit a nd vegetables of green color (p=0,028); consumption of inhibiting food of iron (p=0,002); consumption of food scrap (p=0,044); accumulation (p=0,028); not to have access to drinkable water (p=0,013); precedents of anemia in the mother (p=0,014), precedents of parasitoids intestinal (p=0,001); Precedents of diseases diarreicas sharp (p=0,003).. Conclusions: The factors of risk socio-demographic, nutritional, environmental and pathological they associated in a significant way with the iron deficiency anemia i n the children in study. Key words: Factors of Risk, Iron deficiency anemia, 5 -year-old minor Children.","language":"es","source":"Zotero","title":"PARA OPTAR EL TÍTULO PROFESIONAL DE LICENCIADO(A) EN ENFERMERÍA","author":[{"family":"Tacuchi","given":"Bach Enf MALLQUI"},{"family":"Elí","given":"Darwin"},{"family":"Tarazona","given":"Bach Enf ROBLES"},{"family":"Patricia","given":"Lizbeth"},{"family":"Albornoz","given":"Bach Enf SÁNCHEZ"},{"family":"Deisy","given":"Kely"}]}}],"schema":"https://github.com/citation-style-language/schema/raw/master/csl-citation.json"}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18</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MX"/>
          <w14:textFill>
            <w14:solidFill>
              <w14:schemeClr w14:val="tx1"/>
            </w14:solidFill>
          </w14:textFill>
        </w:rPr>
        <w:t xml:space="preserve"> En la tesis titulada "Factores de Riesgo Asociados a la Anemia Ferropénica en Niños Menores de 5 Años que Asisten al Servicio de Crecimiento y Desarrollo del Centro de Salud Aparicio Pomares" llevada a cabo en Huánuco en 2018, se realizó un estudio analítico que involucró a 62 niños con edades comprendidas entre los 5 y los 16 años que fueron atendidos en el centro de salud. El objetivo principal de este estudio fue identificar los factores de riesgo relacionados con la anemia por deficiencia de hierro en esta población específica.</w:t>
      </w:r>
    </w:p>
    <w:p>
      <w:pPr>
        <w:pStyle w:val="27"/>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Los resultados del estudio revelaron que el 45.2% de los niños atendidos en el centro de salud padecían anemia por deficiencia de hierro. Además, se encontró una asociación significativa entre la presencia de anemia y varios factores de riesgo. En particular, se observó una asociación entre la procedencia de áreas rurales, el bajo nivel de educación de las madres y la limitada capacidad económica mensual con la presencia de anemia ferropénica en estos niños. Estos hallazgos resaltan la importancia de identificar y abordar los factores de riesgo específicos en la población infantil para prevenir y tratar la anemia ferropénica. La procedencia de áreas rurales, la falta de educación materna y la situación económica son factores que pueden influir en la salud de los niños y, por lo tanto, deben ser considerados en las estrategias de prevención y atención de la anemia en esta comunidad de Huánuco.</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Urquizo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{"citationID":"xKwgCRrC","properties":{"formattedCitation":"\\super 19\\nosupersub{}","plainCitation":"19","noteIndex":0},"citationItems":[{"id":36,"uris":["http://zotero.org/users/11989680/items/PAXPSU6A"],"itemData":{"id":36,"type":"article-journal","container-title":"Revista Peruana de Ginecología y Obstetricia","DOI":"10.31403/rpgo.v65i2219","ISSN":"2304-5132","issue":"4","note":"publisher: Sociedad Peruana de Obstetricia y Ginecología","page":"423-425","source":"SciELO","title":"Qué hacer frente a la anemia materna y perinatal","volume":"65","author":[{"family":"Urquizo Aréstegui","given":"Raúl"}],"issued":{"date-parts":[["2019",10]]}}}],"schema":"https://github.com/citation-style-language/schema/raw/master/csl-citation.json"}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szCs w:val="24"/>
          <w:vertAlign w:val="superscript"/>
        </w:rPr>
        <w:t>19</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la revisión titulada "Qué Hacer Frente a la Anemia Materna y Perinatal" en Perú en 2019, se destaca que la principal causa de la anemia en el país es la deficiencia en el consumo de hierro, que es esencial para la formación de la hemoglobina. Esta deficiencia de hierro afecta tanto a las madres como a sus recién nacidos, aumentando el riesgo de parto prematuro y bajo peso al nacer.</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anemia sigue siendo un problema de salud pública en Perú, especialmente en dos grupos de población clave: los niños menores de 3 años y las mujeres en edad fértil. Según datos de la Encuesta Nacional de Demografía y Salud (ENDES) de 2018, la prevalencia de anemia en niños menores de 36 meses a nivel nacional fue del 43.5%. En algunas regiones, como Puno, esta cifra alcanzó el alarmante 66.7%, mientras que en Arequipa y Moquegua fue del 33.9% y en Lima del 35.5%. Además, se informó que el 21.1% de las mujeres en edad fértil en Perú también padecen anemia. Estos datos subrayan la importancia de abordar la anemia en la población infantil y en las mujeres en edad reproductiva, ya que la anemia puede tener consecuencias graves para la salud materna y perinatal, así como para el desarrollo de los niños. Las estrategias de prevención y tratamiento de la anemia siguen siendo un desafío importante en el sistema de salud peruano.</w:t>
      </w:r>
    </w:p>
    <w:p>
      <w:pPr>
        <w:pStyle w:val="27"/>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pStyle w:val="27"/>
        <w:numPr>
          <w:ilvl w:val="0"/>
          <w:numId w:val="3"/>
        </w:numPr>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sz w:val="24"/>
          <w:szCs w:val="24"/>
          <w:lang w:val="es-MX"/>
          <w14:textFill>
            <w14:solidFill>
              <w14:schemeClr w14:val="tx1"/>
            </w14:solidFill>
          </w14:textFill>
        </w:rPr>
        <w:t>Hernández-Vásquez et al</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MX"/>
          <w14:textFill>
            <w14:solidFill>
              <w14:schemeClr w14:val="tx1"/>
            </w14:solidFill>
          </w14:textFill>
        </w:rPr>
        <w:instrText xml:space="preserve"> ADDIN ZOTERO_ITEM CSL_CITATION {"citationID":"hTnAPZGx","properties":{"formattedCitation":"\\super 20\\nosupersub{}","plainCitation":"20","noteIndex":0},"citationItems":[{"id":39,"uris":["http://zotero.org/users/11989680/items/84F6KYRW"],"itemData":{"id":39,"type":"article-journal","abstract":"The objective of this study was to assess the change in the prevalence of anemia among under-five children attending public health services in Peru between 2012 and 2016, according to their place of residence, and to identify spatial clusters of districts with a high prevalence of anemia. An analytical cross-sectional study was carried out, based on data from the Nutritional State Information System from 2012 and 2016. We calculated the spatial autocorrelation of anemia prevalence at the district level using a global and local Moran's I index. The prevalence of anemia was 34.4% (2012) and 40.3% (2016). In 2012 and 2016, 41.7% and 46.5% of districts, respectively, had a prevalence of anemia considered a severe public health problem acording WHO criteria. Positive spatial autocorrelation was found between the prevalence of anemia and the districts for both years (2012 Moran's I: 0.22; 2016: 0.31, both p &lt;0.001). Of the total number of districts, 8.3% (2012) and 12.6% (2016) presented a high prevalence of anemia and were also surrounded by districts with high prevalence. Anemia is a public health problem among children under five in Peru attending public health services and we identified areas with a higher concentration of anemia prevalence. Spatial patterns of anemia should be considered in the development and implementation of health interventions.Keywords: Anemia; Children; Geographic Information Systems; Peru; Preschool; Spatial Analysis (Source: MeSH)","container-title":"Revista chilena de nutrición","DOI":"10.4067/S0717-75182019000600718","ISSN":"0717-7518","issue":"6","note":"publisher: Sociedad Chilena de Nutrición, Bromatología y Toxicología","page":"718-726","source":"SciELO","title":"¿Es la anemia un problema de salud pública entre los menores de cinco años en el Perú? Análisis de una base de datos administrativa nacional de salud (2012 y 2016) empleando Sistemas de Información Geográfica","title-short":"¿Es la anemia un problema de salud pública entre los menores de cinco años en el Perú?","volume":"46","author":[{"family":"Hernández-Vásquez","given":"Akram"},{"family":"Peñares-Peñaloza","given":"Margot"},{"family":"Rebatta-Acuña","given":"Alexis"},{"family":"Carrasco-Farfan","given":"Carlos"},{"family":"Bordón-Luján","given":"Camila"},{"family":"Santero","given":"Marilina"},{"family":"Bendezu-Quispe","given":"Guido"},{"family":"Hernández-Vásquez","given":"Akram"},{"family":"Peñares-Peñaloza","given":"Margot"},{"family":"Rebatta-Acuña","given":"Alexis"},{"family":"Carrasco-Farfan","given":"Carlos"},{"family":"Bordón-Luján","given":"Camila"},{"family":"Santero","given":"Marilina"},{"family":"Bendezu-Quispe","given":"Guido"}],"issued":{"date-parts":[["2019",12]]}}}],"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20</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MX"/>
          <w14:textFill>
            <w14:solidFill>
              <w14:schemeClr w14:val="tx1"/>
            </w14:solidFill>
          </w14:textFill>
        </w:rPr>
        <w:t xml:space="preserve">, El artículo "¿Es la Anemia un Problema de Salud Pública entre los Menores de Cinco Años en el Perú?" se centra en un análisis de datos administrativos de salud con el objetivo de evaluar la prevalencia de anemia en niños menores de cinco años que fueron atendidos en servicios de salud públicos en Perú durante el período de 2012 a 2016. El estudio adoptó un enfoque analítico de corte transversal y utilizó datos del Sistema de Información del Estado Nutricional del Perú en los años mencionados. </w:t>
      </w:r>
      <w:r>
        <w:rPr>
          <w:rFonts w:ascii="Times New Roman" w:hAnsi="Times New Roman" w:eastAsia="Arial" w:cs="Times New Roman"/>
          <w:color w:val="000000" w:themeColor="text1"/>
          <w:lang w:val="es-MX"/>
          <w14:textFill>
            <w14:solidFill>
              <w14:schemeClr w14:val="tx1"/>
            </w14:solidFill>
          </w14:textFill>
        </w:rPr>
        <w:t>Los hallazgos revelaron que la prevalencia de anemia en esta población aumentó durante el período de estudio. En 2012, la prevalencia de anemia fue del 34.4%, y en 2016, aumentó al 40.3%. Además, se identificó que el 41.7% de los distritos analizados en 2012 y el 46.5% en 2016 tenían prevalencias de anemia consideradas como un grave problema de salud pública según la clasificación de la Organización Mundial de la Salud (OMS). Este estudio resalta la persistencia de la anemia como un problema de salud pública en Perú, particularmente entre los niños menores de cinco años. Los datos demuestran un aumento en la prevalencia de la anemia durante el período estudiado, lo que subraya la importancia de continuar esfuerzos para abordar y prevenir esta condición en esta población vulnerable. La identificación de distritos con altas prevalencias de anemia puede servir como base para la implementación de estrategias específicas de salud pública en esas áreas.</w:t>
      </w:r>
    </w:p>
    <w:p>
      <w:pPr>
        <w:pStyle w:val="27"/>
        <w:spacing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r>
        <w:rPr>
          <w:rFonts w:ascii="Times New Roman" w:hAnsi="Times New Roman" w:eastAsia="Arial" w:cs="Times New Roman"/>
          <w:color w:val="000000" w:themeColor="text1"/>
          <w:sz w:val="24"/>
          <w:szCs w:val="24"/>
          <w:lang w:val="es-MX"/>
          <w14:textFill>
            <w14:solidFill>
              <w14:schemeClr w14:val="tx1"/>
            </w14:solidFill>
          </w14:textFill>
        </w:rPr>
        <w:t>Vásquez.</w:t>
      </w:r>
      <w:r>
        <w:rPr>
          <w:rFonts w:ascii="Times New Roman" w:hAnsi="Times New Roman" w:eastAsia="Arial" w:cs="Times New Roman"/>
          <w:color w:val="000000" w:themeColor="text1"/>
          <w:sz w:val="24"/>
          <w:szCs w:val="24"/>
          <w:lang w:val="es-MX"/>
          <w14:textFill>
            <w14:solidFill>
              <w14:schemeClr w14:val="tx1"/>
            </w14:solidFill>
          </w14:textFill>
        </w:rPr>
        <w:fldChar w:fldCharType="begin"/>
      </w:r>
      <w:r>
        <w:rPr>
          <w:rFonts w:ascii="Times New Roman" w:hAnsi="Times New Roman" w:eastAsia="Arial" w:cs="Times New Roman"/>
          <w:color w:val="000000" w:themeColor="text1"/>
          <w:sz w:val="24"/>
          <w:szCs w:val="24"/>
          <w:lang w:val="es-MX"/>
          <w14:textFill>
            <w14:solidFill>
              <w14:schemeClr w14:val="tx1"/>
            </w14:solidFill>
          </w14:textFill>
        </w:rPr>
        <w:instrText xml:space="preserve"> ADDIN ZOTERO_ITEM CSL_CITATION {"citationID":"nnqpGuXA","properties":{"formattedCitation":"\\super 21\\nosupersub{}","plainCitation":"21","noteIndex":0},"citationItems":[{"id":42,"uris":["http://zotero.org/users/11989680/items/GVPAIAJ9"],"itemData":{"id":42,"type":"article-journal","abstract":"OBJETIVO: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sz w:val="24"/>
          <w:szCs w:val="24"/>
          <w:lang w:val="es-MX"/>
          <w14:textFill>
            <w14:solidFill>
              <w14:schemeClr w14:val="tx1"/>
            </w14:solidFill>
          </w14:textFill>
        </w:rPr>
        <w:fldChar w:fldCharType="separate"/>
      </w:r>
      <w:r>
        <w:rPr>
          <w:rFonts w:ascii="Times New Roman" w:hAnsi="Times New Roman" w:cs="Times New Roman"/>
          <w:sz w:val="24"/>
          <w:szCs w:val="24"/>
          <w:vertAlign w:val="superscript"/>
        </w:rPr>
        <w:t>21</w:t>
      </w:r>
      <w:r>
        <w:rPr>
          <w:rFonts w:ascii="Times New Roman" w:hAnsi="Times New Roman" w:eastAsia="Arial" w:cs="Times New Roman"/>
          <w:color w:val="000000" w:themeColor="text1"/>
          <w:sz w:val="24"/>
          <w:szCs w:val="24"/>
          <w:lang w:val="es-MX"/>
          <w14:textFill>
            <w14:solidFill>
              <w14:schemeClr w14:val="tx1"/>
            </w14:solidFill>
          </w14:textFill>
        </w:rPr>
        <w:fldChar w:fldCharType="end"/>
      </w:r>
      <w:r>
        <w:rPr>
          <w:rFonts w:ascii="Times New Roman" w:hAnsi="Times New Roman" w:eastAsia="Arial" w:cs="Times New Roman"/>
          <w:color w:val="000000" w:themeColor="text1"/>
          <w:sz w:val="24"/>
          <w:szCs w:val="24"/>
          <w:lang w:val="es-MX"/>
          <w14:textFill>
            <w14:solidFill>
              <w14:schemeClr w14:val="tx1"/>
            </w14:solidFill>
          </w14:textFill>
        </w:rPr>
        <w:t xml:space="preserve"> El artículo "¿Es la Anemia un Problema de Salud Pública entre los Menores de Cinco Años en el Perú?" se centra en un análisis de datos administrativos de salud con el objetivo de evaluar la prevalencia de anemia en niños menores de cinco años que fueron atendidos en servicios de salud públicos en Perú durante el período de 2012 a 2016. El estudio adoptó un enfoque analítico de corte transversal y utilizó datos del Sistema de Información del Estado Nutricional del Perú en los años mencionados. </w:t>
      </w:r>
      <w:r>
        <w:rPr>
          <w:rFonts w:ascii="Times New Roman" w:hAnsi="Times New Roman" w:eastAsia="Arial" w:cs="Times New Roman"/>
          <w:color w:val="000000" w:themeColor="text1"/>
          <w:lang w:val="es-MX"/>
          <w14:textFill>
            <w14:solidFill>
              <w14:schemeClr w14:val="tx1"/>
            </w14:solidFill>
          </w14:textFill>
        </w:rPr>
        <w:t>Los hallazgos revelaron que la prevalencia de anemia en esta población aumentó durante el período de estudio. En 2012, la prevalencia de anemia fue del 34.4%, y en 2016, aumentó al 40.3%. Además, se identificó que el 41.7% de los distritos analizados en 2012 y el 46.5% en 2016 tenían prevalencias de anemia consideradas como un grave problema de salud pública según la clasificación de la Organización Mundial de la Salud (OMS). Este estudio resalta la persistencia de la anemia como un problema de salud pública en Perú, particularmente entre los niños menores de cinco años. Los datos demuestran un aumento en la prevalencia de la anemia durante el período estudiado, lo que subraya la importancia de continuar esfuerzos para abordar y prevenir esta condición en esta población vulnerable. La identificación de distritos con altas prevalencias de anemia puede servir como base para la implementación de estrategias específicas de salud pública en esas áreas</w:t>
      </w:r>
    </w:p>
    <w:p>
      <w:pPr>
        <w:pStyle w:val="27"/>
        <w:spacing w:before="240" w:after="60"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color w:val="000000" w:themeColor="text1"/>
          <w14:textFill>
            <w14:solidFill>
              <w14:schemeClr w14:val="tx1"/>
            </w14:solidFill>
          </w14:textFill>
        </w:rPr>
        <w:t>Zavaleta et al</w:t>
      </w:r>
      <w:r>
        <w:rPr>
          <w:rFonts w:ascii="Times New Roman" w:hAnsi="Times New Roman" w:eastAsia="Arial" w:cs="Times New Roman"/>
          <w:color w:val="000000" w:themeColor="text1"/>
          <w14:textFill>
            <w14:solidFill>
              <w14:schemeClr w14:val="tx1"/>
            </w14:solidFill>
          </w14:textFill>
        </w:rPr>
        <w:fldChar w:fldCharType="begin"/>
      </w:r>
      <w:r>
        <w:rPr>
          <w:rFonts w:ascii="Times New Roman" w:hAnsi="Times New Roman" w:eastAsia="Arial" w:cs="Times New Roman"/>
          <w:color w:val="000000" w:themeColor="text1"/>
          <w14:textFill>
            <w14:solidFill>
              <w14:schemeClr w14:val="tx1"/>
            </w14:solidFill>
          </w14:textFill>
        </w:rPr>
        <w:instrText xml:space="preserve"> ADDIN ZOTERO_ITEM CSL_CITATION {"citationID":"mHTzuQBr","properties":{"formattedCitation":"\\super 22\\nosupersub{}","plainCitation":"22","noteIndex":0},"citationItems":[{"id":16,"uris":["http://zotero.org/users/11989680/items/4Q79SXBB"],"itemData":{"id":16,"type":"article-journal","abstract":"La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infantil","author":[{"family":"Zavaleta","given":"Nelly"},{"family":"Astete-Robilliard","given":"Laura"}],"issued":{"date-parts":[["2017",12,26]]}}}],"schema":"https://github.com/citation-style-language/schema/raw/master/csl-citation.json"} </w:instrText>
      </w:r>
      <w:r>
        <w:rPr>
          <w:rFonts w:ascii="Times New Roman" w:hAnsi="Times New Roman" w:eastAsia="Arial" w:cs="Times New Roman"/>
          <w:color w:val="000000" w:themeColor="text1"/>
          <w14:textFill>
            <w14:solidFill>
              <w14:schemeClr w14:val="tx1"/>
            </w14:solidFill>
          </w14:textFill>
        </w:rPr>
        <w:fldChar w:fldCharType="separate"/>
      </w:r>
      <w:r>
        <w:rPr>
          <w:rFonts w:ascii="Times New Roman" w:hAnsi="Times New Roman" w:cs="Times New Roman"/>
          <w:szCs w:val="24"/>
          <w:vertAlign w:val="superscript"/>
        </w:rPr>
        <w:t>22</w:t>
      </w:r>
      <w:r>
        <w:rPr>
          <w:rFonts w:ascii="Times New Roman" w:hAnsi="Times New Roman" w:eastAsia="Arial" w:cs="Times New Roman"/>
          <w:color w:val="000000" w:themeColor="text1"/>
          <w14:textFill>
            <w14:solidFill>
              <w14:schemeClr w14:val="tx1"/>
            </w14:solidFill>
          </w14:textFill>
        </w:rPr>
        <w:fldChar w:fldCharType="end"/>
      </w:r>
      <w:r>
        <w:rPr>
          <w:rFonts w:ascii="Times New Roman" w:hAnsi="Times New Roman" w:eastAsia="Arial" w:cs="Times New Roman"/>
          <w:color w:val="000000" w:themeColor="text1"/>
          <w14:textFill>
            <w14:solidFill>
              <w14:schemeClr w14:val="tx1"/>
            </w14:solidFill>
          </w14:textFill>
        </w:rPr>
        <w:t xml:space="preserve"> En el artículo titulado "Efecto de la Anemia en el Desarrollo Infantil: Consecuencias a Largo Plazo" realizado en Perú en 2017, se aborda la preocupación por la anemia en la población infantil y su impacto en el desarrollo a largo plazo. Se destaca que la principal causa de anemia en este contexto es la deficiencia de hierro, y se analiza cómo esta deficiencia puede afectar diversos aspectos del desarrollo infantil, incluyendo el desarrollo psicomotor, cognitivo, social y emocional. Los efectos de la anemia en el desarrollo se respaldan mediante evidencia de estudios observacionales, de seguimiento y experimentales que incluyen grupos de control. El artículo explora los mecanismos a través de los cuales la deficiencia de hierro puede influir en el desarrollo infantil, y se preocupa por la alta prevalencia de anemia en el grupo de edad estudiado. En resumen, el artículo resalta la importancia de abordar la anemia, especialmente cuando está relacionada con la deficiencia de hierro, en los niños, ya que puede tener consecuencias significativas en su desarrollo a largo plazo. La preocupación del autor se basa en la necesidad de tomar medidas para prevenir y tratar la anemia en la población infantil, con el objetivo de promover un desarrollo óptimo en estos niños en Perú.</w:t>
      </w:r>
    </w:p>
    <w:p>
      <w:pPr>
        <w:pStyle w:val="27"/>
        <w:rPr>
          <w:rFonts w:ascii="Times New Roman" w:hAnsi="Times New Roman" w:eastAsia="Arial" w:cs="Times New Roman"/>
          <w:color w:val="000000" w:themeColor="text1"/>
          <w:sz w:val="24"/>
          <w:szCs w:val="24"/>
          <w:lang w:val="es-MX"/>
          <w14:textFill>
            <w14:solidFill>
              <w14:schemeClr w14:val="tx1"/>
            </w14:solidFill>
          </w14:textFill>
        </w:rPr>
      </w:pPr>
    </w:p>
    <w:p>
      <w:pPr>
        <w:pStyle w:val="27"/>
        <w:spacing w:before="240" w:after="60" w:line="360" w:lineRule="auto"/>
        <w:jc w:val="both"/>
        <w:rPr>
          <w:rFonts w:ascii="Times New Roman" w:hAnsi="Times New Roman" w:eastAsia="Arial" w:cs="Times New Roman"/>
          <w:color w:val="000000" w:themeColor="text1"/>
          <w:sz w:val="24"/>
          <w:szCs w:val="24"/>
          <w:lang w:val="es-MX"/>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Ezquerra,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{"citationID":"BvPyVQLg","properties":{"formattedCitation":"\\super 23\\nosupersub{}","plainCitation":"23","noteIndex":0},"citationItems":[{"id":51,"uris":["http://zotero.org/users/11989680/items/8JVXC2HL"],"itemData":{"id":51,"type":"article-journal","abstract":"Introduction: Iron deficiency anemia is considered a serious public health problem in Peru, in addition to the fact that there are various factors that have been studied and various national strategies and plans have been developed on them to intervene and reduce this high prevalence that continues to be permanent over time We must consider the association of other maternal and child factors potentially involved in the development of this disease.\nObjective: To determine the maternal and child factors associated with anemia in infants from 6 to 36 months in Peru during the year 2019. Materials and methods: An observational, analytical and retrospective study was carried out by analyzing the Demographic and Family Health Survey for the period 2019. Prevalence ratios (PR) were used. SPSS v25 and STATA were used for the statistical analysis, considering a 95% CI.\nResults: The risk factors associated with anemia were: living in the sierra region (PR: 1.39 IC 1.24-1.55 p &lt;0.000), living in the jungle region (PR: 1.23 IC 1.10291.37 p &lt;0.000), presenting diarrhea ( PR: 1.16 CI 1.09-1.25 p &lt;0.000), and being poor (PR: 1.29 CI1.20-1.38 p &lt;0.000).\nConclusion: The prevalence of anemia found was high. Live in the regions of the sierra and jungle; Being poor and having had diarrhea and fever in the last two weeks were significantly associated with anemia in Peruvian children under 36 months.","language":"es","page":"77","source":"Zotero","title":"FACTORES MATERNO-INFANTILES ASOCIADOS A ANEMIA FERROPÉNICA EN INFANTES DE 6 A 36 MESES EN PERÚ DURANTE EL AÑO 2019","author":[{"family":"Larrea Gandhi","given":"Ezquerra Huaman","suffix":"Carlos"}]}}],"schema":"https://github.com/citation-style-language/schema/raw/master/csl-citation.json"}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23</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En la tesis titulada "Factores Materno-Infantiles Asociados a Anemia Ferropénica en Infantes de 6 a 36 Meses" llevada a cabo en Perú en el año 2019, se aborda la gravedad de la anemia ferropénica en términos de salud pública, debido a su persistente prevalencia a lo largo del tiempo, a pesar de las diversas estrategias nacionales implementadas para reducirla. </w:t>
      </w:r>
      <w:r>
        <w:rPr>
          <w:rFonts w:ascii="Times New Roman" w:hAnsi="Times New Roman" w:eastAsia="Arial" w:cs="Times New Roman"/>
          <w:color w:val="000000" w:themeColor="text1"/>
          <w14:textFill>
            <w14:solidFill>
              <w14:schemeClr w14:val="tx1"/>
            </w14:solidFill>
          </w14:textFill>
        </w:rPr>
        <w:t>Este estudio tuvo un enfoque observacional, analítico y retrospectivo, y se basó en datos recopilados a través de la Encuesta Nacional de Demografía y Salud (ENDES). Los hallazgos del estudio revelaron varios factores asociados a la anemia por deficiencia de hierro en niños de 6 a 36 meses en Perú. Entre estos factores se incluyen:</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1. Vivir en la región de la sierra: Se encontró que los niños que vivían en la región de la sierra tenían un riesgo relativo (RP) de 1.39 de padecer anemia en comparación con otros grupos geográficos.</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2. Vivir en la región de la selva: Los niños que vivían en la región de la selva también presentaron un riesgo significativamente mayor de anemia, con un RP de 1.23.</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3. Presentar diarrea: Los niños que experimentaban episodios de diarrea tenían un riesgo relativo de 1.16 de desarrollar anemia.</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4. Ser pobre: La condición socioeconómica desfavorecida, representada por la pobreza, también se identificó como un factor de riesgo significativo, con un RP de 1.29.</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Estos resultados subrayan la complejidad de la anemia ferropénica en Perú y la necesidad de abordar múltiples factores, incluyendo el entorno geográfico, la salud infantil y las disparidades socioeconómicas, para combatir eficazmente esta condición en la población infantil del país.</w:t>
      </w:r>
    </w:p>
    <w:p>
      <w:pPr>
        <w:pStyle w:val="27"/>
        <w:spacing w:before="240" w:after="60" w:line="360" w:lineRule="auto"/>
        <w:jc w:val="both"/>
        <w:rPr>
          <w:rFonts w:ascii="Times New Roman" w:hAnsi="Times New Roman" w:eastAsia="Arial" w:cs="Times New Roman"/>
          <w:b/>
          <w:bCs/>
          <w:i/>
          <w:iCs/>
          <w:color w:val="000000" w:themeColor="text1"/>
          <w:sz w:val="24"/>
          <w:szCs w:val="24"/>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Soncco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{"citationID":"msddpUI7","properties":{"formattedCitation":"\\super 6\\nosupersub{}","plainCitation":"6","noteIndex":0},"citationItems":[{"id":92,"uris":["http://zotero.org/users/11989680/items/Z32B89WP"],"itemData":{"id":92,"type":"article-journal","container-title":"Revista de Investigaciones Altoandinas","DOI":"10.18271/ria.2018.331","ISSN":"2313-2957","issue":"1","note":"publisher: Universidad Nacional del Altiplano","page":"73-84","source":"SciELO","title":"Impacto de un programa educativo incluyendo un pan fortificado para reducir los niveles de anemia en niños escolares de Yocará, Puno -Perú","volume":"20","author":[{"family":"Soncco-Sucapuca","given":"Maritza"},{"family":"Brousett-Minaya","given":"Magaly A."},{"family":"Pumacahua-Ramos","given":"Augusto"}],"issued":{"date-parts":[["2018",1]]}}}],"schema":"https://github.com/citation-style-language/schema/raw/master/csl-citation.json"}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6</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En el artículo titulado "Impacto de un Programa Educativo Incluyendo un Pan Fortificado para Reducir los Niveles de Anemia en Niños Escolares de Yocará" en la región de Puno, Perú, en 2018, se describe un estudio que evaluó el impacto de un programa educativo y la inclusión de un pan fortificado en la reducción de los niveles de anemia en niños escolares. Los resultados del estudio fueron notables:</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1. Incremento significativo en los niveles de hemoglobina: Después de que los padres y alumnos recibieron charlas y talleres nutricionales relacionados con la anemia por deficiencia de hierro, el promedio de hemoglobina de los niños se incrementó de manera significativa en 0.51 g/dl (p &lt; 0.05).</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2. Reducción de la anemia leve y moderada: La anemia leve disminuyó de un 25.5% a un 2.3%, mientras que la anemia moderada se redujo de un 18.6% a un 7%. Esto indica una mejora considerable en la salud de los niños en términos de anemia.</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3. Aumento de conocimientos en los padres: Los padres de familia que participaron en el programa educativo experimentaron un notable aumento en sus conocimientos sobre temas relacionados con la anemia y la nutrición. Sus puntajes en las pruebas de conocimiento aumentaron significativamente de 1.96 a 9.38 puntos, lo que demuestra un mayor entendimiento sobre cómo prevenir y tratar la anemia (t = -10.195, p &lt; 0.05).</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En resumen, este estudio demostró que la inclusión de un pan fortificado en combinación con un programa educativo tuvo un impacto positivo en la reducción de la anemia ferropénica en niños escolares en la región de Puno, Perú. Además, los padres de familia mejoraron significativamente sus conocimientos sobre este tema, lo que contribuye a la prevención y el tratamiento efectivo de la anemia en la comunidad.</w:t>
      </w:r>
    </w:p>
    <w:p>
      <w:pPr>
        <w:pStyle w:val="27"/>
        <w:spacing w:before="240" w:after="60" w:line="360" w:lineRule="auto"/>
        <w:jc w:val="both"/>
        <w:rPr>
          <w:rFonts w:ascii="Times New Roman" w:hAnsi="Times New Roman" w:eastAsia="Arial" w:cs="Times New Roman"/>
          <w:b/>
          <w:bCs/>
          <w:i/>
          <w:iCs/>
          <w:color w:val="000000" w:themeColor="text1"/>
          <w:sz w:val="24"/>
          <w:szCs w:val="24"/>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Hidalgo</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{"citationID":"gr8fjbgk","properties":{"formattedCitation":"\\super 24\\nosupersub{}","plainCitation":"24","noteIndex":0},"citationItems":[{"id":88,"uris":["http://zotero.org/users/11989680/items/UYWY7RG3"],"itemData":{"id":88,"type":"article-journal","abstract":"En el contexto del derecho a la vida –y particularmente a la vida de los niños y su bienestar integral- la legislación nacional e internacional consagran este derecho. Al ser la anemia uno de los factores que más influye tanto en la morbilidad infantil, así como en el desarrollo de sus facultades, es indispensable validar estrategias conducentes a su disminución/eliminación. La investigación se sustentó en el marco conceptual del Plan Nacional para la Reducción y Control de la Anemia Materno Infantil en el Perú, 2017-2021. En este sentido y a partir de la opinión de expertos, médicos, nutricionistas, madres líderes, entre otros, la propuesta fue demostrar el alcance de una intervención educativa que permitiera la reducción de la anemia en niños entre 6 y menos de 36 meses de edad entre octubre 2018 y febrero 2019 en el asentamiento humano Flor de Amancaes. Se concluye que el control y efecto de la anemia en áreas urbano marginales en el Perú dependerá del nivel de educación, de la capacitación con acompañamiento de los padres de familia y del compromiso legal del Estado en velar por el derecho a la vida a través del cuidado nutricional de nuestros niños.DOIhttps://doi.org/10.24265/voxjuris.2019.v37n2.10","container-title":"Vox Juris","DOI":"https://doi.org/10.24265/voxjuris.2019.v37n2.10","ISSN":"2521-5280","issue":"2","language":"es","license":"Copyright (c) 2019 Ivan Hidalgo Romero","note":"number: 2","page":"143-154","source":"www.aulavirtualusmp.pe","title":"Relevancia de la intervención educativa como factor preventivo de la anemia en niños entre 6 y 36 meses: el caso del área urbano marginal de flor de amancaes, lima, perú","title-short":"Relevancia de la intervención educativa como factor preventivo de la anemia en niños entre 6 y 36 meses","volume":"37","author":[{"family":"Romero","given":"Ivan Hidalgo"}],"issued":{"date-parts":[["2019",7,11]]}}}],"schema":"https://github.com/citation-style-language/schema/raw/master/csl-citation.json"}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24</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en la publicación titulada "Relevancia de la Intervención Educativa como el Factor Preventivo de la Anemia en Niños entre 6-36 Meses: El Caso del Área Urbano Marginal de Flor de Amancaes" en Lima, Perú, en 2019, se centra en la importancia de las intervenciones educativas como un factor preventivo clave en la lucha contra la anemia en niños en edad preescolar. Este estudio se enmarca en el Plan Nacional para la Reducción y Control de la Anemia Materno Infantil en el Perú 2017-2021, que tiene como objetivo principal reducir el impacto de la anemia ferropénica en la población infantil.</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Los resultados de la investigación indican que el alcance educativo dirigido a los padres de familia desempeña un papel significativo y eficaz en la prevención de la anemia en niños de 6 a 36 meses. Este enfoque educativo se suma a la importancia de una alimentación adecuada y la suplementación con hierro para combatir la anemia. Al proporcionar información y conocimientos sobre la importancia de una dieta rica en hierro, la adecuada preparación de alimentos y la administración de suplementos de hierro según las recomendaciones médicas, se puede contribuir de manera significativa a la prevención de la anemia en esta población vulnerable.</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En resumen, este estudio enfatiza que la educación de los padres y cuidadores es esencial en la estrategia de prevención de la anemia en niños pequeños, y debe considerarse como un componente integral de los esfuerzos para abordar este problema de salud en el área urbano marginal de Flor de Amancaes y en todo el Perú.</w:t>
      </w:r>
    </w:p>
    <w:p>
      <w:pPr>
        <w:pStyle w:val="27"/>
        <w:spacing w:before="240" w:after="60" w:line="360" w:lineRule="auto"/>
        <w:jc w:val="both"/>
        <w:rPr>
          <w:rFonts w:ascii="Times New Roman" w:hAnsi="Times New Roman" w:eastAsia="Arial" w:cs="Times New Roman"/>
          <w:b/>
          <w:bCs/>
          <w:i/>
          <w:iCs/>
          <w:color w:val="000000" w:themeColor="text1"/>
          <w:sz w:val="24"/>
          <w:szCs w:val="24"/>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Del Aguila-Villar,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{"citationID":"CImsezcf","properties":{"formattedCitation":"\\super 9\\nosupersub{}","plainCitation":"9","noteIndex":0},"citationItems":[{"id":52,"uris":["http://zotero.org/users/11989680/items/5U4IZ8W8"],"itemData":{"id":52,"type":"article-journal","abstract":"En el mundo la deficiencia de hierro afecta a 2000 millones de personas y de ellos 1,600 millones tienen anemia por deficiencia de hierro1,2. De ellos un 47,4 % son pre-escolares, 25,4% son escolares, 41,8% son gestantes y 30,2% son mujeres en edad fértil . La severidad del problema es establecida por la OMS según el grado de prevalencia, y se considera severo si afecta a más del 40% de la población, moderado si afecta entre el 20 y 40% de la población, y leve si afecta a menos del 20% . En América Latina se reporta que afecta a 50% de niños menores de 5 años, 75% de niños menores de 2 años; 10 a 30 % de mujeres en edad reproductiva y al 40 a 70% de las mujeres embarazadas . En el Perú existe sub registro de la anemia. MINSA reporta el diagnóstico de anemia ferropénica en sólo 2.1% de las consultas ambulatorias4 , mientras la encuesta ENDES 2015 reporta que el problema es serio para población de niños más pequeños. Según esta última publicación de INEI, el 31% de los niños menores de 5 años encuestados tiene anemia, y está presente en casi 60% de menores de 2 años, en 20,7% de las mujeres entre 15 y 49 años, y en 28% de las gestantes.\nDOI:https://doi.org/10.25176/RFMH.v16.n2.672","container-title":"Revista de la Facultad de Medicina Humana","ISSN":"2308-0531","issue":"3","language":"es","license":"Copyright (c) 2017 Revista de la Facultad de Medicina Humana","note":"number: 3","source":"revistas.urp.edu.pe","title":"ANEMIA EN LA POBLACIÓN PEDIÁTRICA DEL PERÚ","URL":"http://revistas.urp.edu.pe/index.php/RFMH/article/view/672","volume":"16","author":[{"family":"Águila-Villar","given":"Carlos","dropping-particle":"del"},{"family":"Chávez-Tejada","given":"Eliana"},{"family":"Romero-Guzmán","given":"Alberto"},{"family":"Román-Blas","given":"Zulema"},{"family":"Núñez-Almache","given":"Oswaldo"}],"accessed":{"date-parts":[["2022",11,28]]},"issued":{"date-parts":[["2016"]]}}}],"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9</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El artículo "Anemia en la Población Pediátrica del Perú" del año 2016 resalta la problemática de la anemia por deficiencia de hierro y su impacto en la población infantil. Aquí se resumen los puntos clave de este artículo:</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1. Magnitud del problema: El artículo señala que la anemia por deficiencia de hierro afecta a nivel mundial a una cifra alarmante de 1,600 millones de personas. En el contexto peruano, se destaca que esta condición afecta a diferentes grupos de población, con tasas significativas. En particular, el 47.4% de los casos corresponde a niños en edad preescolar, el 25.4% a escolares, el 41.8% a gestantes y el 30.2% a mujeres en edad fértil.</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2. Relación entre anemia materna y desarrollo infantil: Se menciona la alta relación entre la anemia materna y el desarrollo del bebé durante su primer año de vida. La anemia en la madre puede tener implicaciones para la salud del niño y su desarrollo temprano.</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3. Efectos en el sistema nervioso: Se destaca que la deficiencia de hierro en los primeros 3 años de vida puede afectar la formación de la mielina, una sustancia esencial en el sistema nervioso central. Esto puede llevar a una velocidad de conducción del impulso nervioso más lenta en lactantes anémicos.</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4. Persistencia de efectos incluso después del tratamiento: Sorprendentemente, se señala que los lactantes anémicos pueden continuar experimentando una velocidad de conducción más lenta del impulso nervioso incluso después de recibir tratamiento prolongado con hierro oral. Esto puede tener consecuencias en el aprendizaje, la productividad y la salud emocional de los niños, lo que resalta la importancia de abordar la anemia de manera efectiva y temprana.</w:t>
      </w:r>
    </w:p>
    <w:p>
      <w:pPr>
        <w:pStyle w:val="27"/>
        <w:spacing w:before="240" w:after="60"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En resumen, este artículo pone de manifiesto la gravedad de la anemia por deficiencia de hierro en la población pediátrica del Perú y subraya la necesidad de tomar medidas para prevenir y tratar esta condición, especialmente en los grupos de mayor vulnerabilidad, como los niños en edad preescolar, escolares, gestantes y mujeres en edad fértil. También destaca la importancia de la detección temprana y el tratamiento adecuado para prevenir posibles efectos a largo plazo en el desarrollo y la salud de los niños.</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Ortiz et al.</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{"citationID":"6Y5HVh3c","properties":{"formattedCitation":"\\super 25\\nosupersub{}","plainCitation":"25","noteIndex":0},"citationItems":[{"id":83,"uris":["http://zotero.org/users/11989680/items/C7RS72NL"],"itemData":{"id":83,"type":"article-journal","abstract":"Introduction: Iron deficiency anemia in children from 6 to 35 months is a severe public health issue.Objective: to determine the prevalence of anemia level and related factors in children under three years applying multicausal model in Peruvian population.Materials and methods: To explanatory level research was carried out applying a secondary analysis with data found in the database of the 2019 Demographic and Family Health Survey. The main variable was the level of anemia in which Hemocue® test was used. Weighted values, frequencies, percentages, goodness-of- fit, and an ordinal regression model were taken into consideration.Results: 40.20% of children under three years old presented anemia. Factors as presence of diarrhea (OR = 1.30), 12 months of life (OR: 3.33), not starting prenatal control (OR: 1.19), male gender (OR: 1.25), mother with anemia (OR: 1.75), mothers who are 15 to 24 (OR: 1.94), water well as a source of water (OR: 1.53), Aymara as mother tongue (OR: 2.31) were associated with anemia level. Conclusions: Among the risk factors associated with anemia according to the multicausal model, diarrhea in the last two weeks is a determinant factor, among the underlying factors are the child's age, source of drinking water, prenatal care, anemia and the woman's age. In addition, the protective factors correspond to breastfeeding for some time and the highest wealth quintile.","container-title":"Enfermería Global","DOI":"10.6018/eglobal.472871","ISSN":"1695-6141","issue":"4","language":"es","license":"Derechos de autor 2021 Enfermería Global","note":"number: 4","page":"426-455","source":"revistas.um.es","title":"Análisis del modelo multicausal sobre el nivel de la anemia en niños de 6 a 35 meses en Perú","volume":"20","author":[{"family":"Romaní","given":"Katherine Jenny Ortiz"},{"family":"Montalvo","given":"Yonathan Josué Ortiz"},{"family":"Encarnación","given":"Josselyne Rocio Escobedo"},{"family":"Rosa","given":"Luis Neyra","dropping-particle":"de la"},{"family":"Velásquez","given":"Carlos Alberto Jaimes"}],"issued":{"date-parts":[["2021",10,8]]}}}],"schema":"https://github.com/citation-style-language/schema/raw/master/csl-citation.json"}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25</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En la revisión titulada "Análisis del Modelo Multicausal sobre el Nivel de Anemia en Niños de 6 a 35 Meses en el Perú" del año 2021, se analiza la prevalencia de la anemia y sus asociaciones en niños menores de 3 años utilizando datos de la Encuesta Nacional de Demografía y Salud (ENDES) del año 2019 en la población peruana. Aquí se resumen los hallazgos clave:</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1. Prevalencia de la anemia: Según los datos de la ENDES 2019, se encontró que un 40.20% de los niños menores de tres años en el Perú tenían anemia. Esto señala la alta prevalencia de esta condición en este grupo de edad.</w:t>
      </w:r>
    </w:p>
    <w:p>
      <w:pPr>
        <w:pStyle w:val="27"/>
        <w:spacing w:before="240" w:after="60"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2. Factores asociados a la anemia: El estudio identificó varios factores que se asociaron significativamente con la anemia ferropénica en niños. Estos factores incluyen:</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Presencia de diarrea: Los niños que experimentaron episodios de diarrea tenían un mayor riesgo de anemia (OR=1.30).</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Edad de los niños: Los niños menores de 12 meses (primeros 12 meses de vida) presentaban un riesgo significativamente mayor de anemia (OR: 3.33).</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No inicio del control prenatal: La falta de inicio del control prenatal durante el embarazo se asoció con un mayor riesgo de anemia en los niños (OR: 1.19).</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Género masculino: Los niños de género masculino tenían un riesgo ligeramente mayor de anemia en comparación con las niñas (OR: 1.25).</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Anemia en la madre: La presencia de anemia en la madre se asoció con un mayor riesgo de anemia en los niños (OR: 1.75).</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Edad materna: Las madres de 15 a 24 años tenían un mayor riesgo de tener hijos con anemia (OR: 1.94)</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Fuente de agua: El uso de pozos de tierra como fuente de agua se asoció con un mayor riesgo de anemia en los niños (OR: 1.53).</w:t>
      </w:r>
    </w:p>
    <w:p>
      <w:pPr>
        <w:pStyle w:val="27"/>
        <w:numPr>
          <w:ilvl w:val="1"/>
          <w:numId w:val="4"/>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Lengua materna: El uso de la lengua materna aymara se asoció con un mayor riesgo de anemia en los niños (OR: 2.31).</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14:textFill>
            <w14:solidFill>
              <w14:schemeClr w14:val="tx1"/>
            </w14:solidFill>
          </w14:textFill>
        </w:rPr>
        <w:t>Estos hallazgos resaltan la complejidad de la anemia en niños y cómo múltiples factores, incluyendo aspectos relacionados con la salud materna, la nutrición infantil y las condiciones de vida, pueden contribuir a su desarrollo. Estos resultados respaldan la importancia de abordar la anemia desde una perspectiva multicausal y desarrollar estrategias efectivas para su prevención y tratamiento en la población infantil peruana.</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27"/>
        <w:numPr>
          <w:ilvl w:val="0"/>
          <w:numId w:val="3"/>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Bartra</w:t>
      </w:r>
      <w:r>
        <w:rPr>
          <w:rFonts w:ascii="Times New Roman" w:hAnsi="Times New Roman" w:eastAsia="Arial" w:cs="Times New Roman"/>
          <w:color w:val="000000" w:themeColor="text1"/>
          <w:sz w:val="24"/>
          <w:szCs w:val="24"/>
          <w14:textFill>
            <w14:solidFill>
              <w14:schemeClr w14:val="tx1"/>
            </w14:solidFill>
          </w14:textFill>
        </w:rPr>
        <w:fldChar w:fldCharType="begin"/>
      </w:r>
      <w:r>
        <w:rPr>
          <w:rFonts w:ascii="Times New Roman" w:hAnsi="Times New Roman" w:eastAsia="Arial" w:cs="Times New Roman"/>
          <w:color w:val="000000" w:themeColor="text1"/>
          <w:sz w:val="24"/>
          <w:szCs w:val="24"/>
          <w14:textFill>
            <w14:solidFill>
              <w14:schemeClr w14:val="tx1"/>
            </w14:solidFill>
          </w14:textFill>
        </w:rPr>
        <w:instrText xml:space="preserve"> ADDIN ZOTERO_ITEM CSL_CITATION {"citationID":"sMLJasbQ","properties":{"formattedCitation":"\\super 26\\nosupersub{}","plainCitation":"26","noteIndex":0},"citationItems":[{"id":1,"uris":["http://zotero.org/users/11989680/items/C7DMSMVD"],"itemData":{"id":1,"type":"article-journal","abstract":"Objetivo: Determinar los factores de riesgo asociados a la anemia  an le nia en niños menores de 5 años del Hospital II EsSalud Tarapoto. Agosto – Diciembre 2019. \nLos materiales y métodos: Se realizó un estudio analítico, retrospectivo, observacional de casos y controles, con una muestra de 54 niños menores de 5 años con anemia  an le nia para casos y 54 niños menores de 5 años para controles. \nLos resultados: El nivel de anemia ferropenia que predomina según valor de hemoglobina es anemia leve  con 64,8 % (n=35). Los factores asociados a anemia ferropenia son la edad del niño mayor de 12 meses (p &lt; 0,001) OR 6,236; con IC 95 % (2,138  a 18,191), ocupación que desempeña la madre fuera del Hogar (p 0,002) OR 1,630; con IC 95 % (0,513 a 0,773).  Antecedentes de Anemia materna (p 0,039) OR 2,556; con IC 95 % (1,438 a 1,705). Antecedentes de EDA (p 0,004) OR 3,455; con IC 95 % (1,556 a 7,668). Antecedentes de IRA (p 0,003) OR 18,000; con IC 95 % (4,560 a 1,050).  \nConclusión: Los factores de riesgo sociodemográficos (edad mayor de 12 meses, ocupación que desempeña la madre fuera del Hogar) y patológicos (Antecedentes de Anemia materna,  EDA, IRA) se asociaron de manera significativa con la anemia ferropénica en los niños en estudio.","container-title":"Universidad Nacional de San Martín - Tarapoto","language":"spa","license":"info:eu-repo/semantics/openAccess","note":"Accepted: 2020-03-10T19:44:26Z\npublisher: Universidad Nacional de San Martín - Tarapoto","source":"repositorio.unsm.edu.pe","title":"Factores de riesgo asociados a la anemia ferropénica en niños menores de 5 años del Hospital II EsSalud Tarapoto. Agosto – diciembre 2019","URL":"http://repositorio.unsm.edu.pe/handle/11458/3687","author":[{"family":"Bartra Rios","given":"Johan Luigi"}],"accessed":{"date-parts":[["2021",10,18]]},"issued":{"date-parts":[["2020"]]}}}],"schema":"https://github.com/citation-style-language/schema/raw/master/csl-citation.json"} </w:instrText>
      </w:r>
      <w:r>
        <w:rPr>
          <w:rFonts w:ascii="Times New Roman" w:hAnsi="Times New Roman" w:eastAsia="Arial" w:cs="Times New Roman"/>
          <w:color w:val="000000" w:themeColor="text1"/>
          <w:sz w:val="24"/>
          <w:szCs w:val="24"/>
          <w14:textFill>
            <w14:solidFill>
              <w14:schemeClr w14:val="tx1"/>
            </w14:solidFill>
          </w14:textFill>
        </w:rPr>
        <w:fldChar w:fldCharType="separate"/>
      </w:r>
      <w:r>
        <w:rPr>
          <w:rFonts w:ascii="Times New Roman" w:hAnsi="Times New Roman" w:cs="Times New Roman"/>
          <w:sz w:val="24"/>
          <w:szCs w:val="24"/>
          <w:vertAlign w:val="superscript"/>
        </w:rPr>
        <w:t>26</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bookmarkEnd w:id="18"/>
      <w:r>
        <w:rPr>
          <w:rFonts w:ascii="Times New Roman" w:hAnsi="Times New Roman" w:eastAsia="Arial" w:cs="Times New Roman"/>
          <w:color w:val="000000" w:themeColor="text1"/>
          <w:sz w:val="24"/>
          <w:szCs w:val="24"/>
          <w14:textFill>
            <w14:solidFill>
              <w14:schemeClr w14:val="tx1"/>
            </w14:solidFill>
          </w14:textFill>
        </w:rPr>
        <w:t>En la tesis de grado titulada "Factores de Riesgo Asociados a la Anemia Ferropénica en Niños Menores de 5 Años del Hospital II EsSalud Tarapoto entre Agosto a Diciembre" en Perú, realizada en 2019, se llevó a cabo un estudio analítico, retrospectivo y observacional de casos y controles que incluyó a un total de 54 infantes menores de 5 años con anemia ferropénica como casos, y se compararon con igual cantidad de niños sin anemia ferropénica como controles. A continuación, se resumen los hallazgos clave del estudio:</w:t>
      </w:r>
    </w:p>
    <w:p>
      <w:pPr>
        <w:pStyle w:val="27"/>
        <w:numPr>
          <w:ilvl w:val="0"/>
          <w:numId w:val="5"/>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Tipo de anemia más frecuente: El estudio encontró que el tipo de anemia más frecuente en la población infantil de Tarapoto era la anemia leve, que representaba el 64.8% de los casos.</w:t>
      </w:r>
    </w:p>
    <w:p>
      <w:pPr>
        <w:pStyle w:val="27"/>
        <w:numPr>
          <w:ilvl w:val="0"/>
          <w:numId w:val="5"/>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Asociaciones significativas con la anemia ferropénica: Se identificaron varias asociaciones significativas con la presencia de anemia ferropénica en los niños:</w:t>
      </w:r>
    </w:p>
    <w:p>
      <w:pPr>
        <w:pStyle w:val="27"/>
        <w:numPr>
          <w:ilvl w:val="0"/>
          <w:numId w:val="5"/>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Edad del niño: Los niños mayores de 12 meses tenían un riesgo significativamente mayor de desarrollar anemia ferropénica en comparación con los niños más jóvenes (p &lt; 0.001; OR 6.236; IC 95%: 2.138 a 18.191).</w:t>
      </w:r>
    </w:p>
    <w:p>
      <w:pPr>
        <w:pStyle w:val="27"/>
        <w:numPr>
          <w:ilvl w:val="0"/>
          <w:numId w:val="5"/>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Antecedentes anémicos maternos: La presencia de antecedentes de anemia en las madres se asoció significativamente con un mayor riesgo de anemia ferropénica en los niños (p 0.039; OR 2.556; IC 95%: 1.438 a 1.705).</w:t>
      </w:r>
    </w:p>
    <w:p>
      <w:pPr>
        <w:pStyle w:val="27"/>
        <w:numPr>
          <w:ilvl w:val="0"/>
          <w:numId w:val="5"/>
        </w:numPr>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Antecedentes de enfermedad diarreica aguda (EDA): Los niños con antecedentes de EDA tenían un mayor riesgo de anemia ferropénica (p 0.004; OR 3.455; IC 95%: 1.556 a 7.668).</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Estos hallazgos subrayan la importancia de considerar factores como la edad del niño, los antecedentes anémicos maternos y las experiencias previas de enfermedad diarreica aguda al evaluar el riesgo de anemia ferropénica en niños menores de 5 años en la región de Tarapoto, Perú. Identificar y abordar estos factores de riesgo puede ser fundamental para prevenir y tratar la anemia en esta población vulnerable.</w:t>
      </w: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27"/>
        <w:spacing w:before="240" w:after="60" w:line="360" w:lineRule="auto"/>
        <w:jc w:val="both"/>
        <w:rPr>
          <w:rFonts w:ascii="Times New Roman" w:hAnsi="Times New Roman" w:eastAsia="Arial" w:cs="Times New Roman"/>
          <w:color w:val="000000" w:themeColor="text1"/>
          <w:sz w:val="24"/>
          <w:szCs w:val="24"/>
          <w14:textFill>
            <w14:solidFill>
              <w14:schemeClr w14:val="tx1"/>
            </w14:solidFill>
          </w14:textFill>
        </w:rPr>
      </w:pPr>
    </w:p>
    <w:p>
      <w:pPr>
        <w:pStyle w:val="3"/>
        <w:rPr>
          <w:rFonts w:ascii="Times New Roman" w:hAnsi="Times New Roman" w:cs="Times New Roman"/>
          <w:b/>
          <w:bCs/>
          <w:color w:val="auto"/>
          <w:sz w:val="24"/>
          <w:szCs w:val="24"/>
        </w:rPr>
      </w:pPr>
      <w:bookmarkStart w:id="21" w:name="_Toc145737797"/>
      <w:r>
        <w:rPr>
          <w:rFonts w:ascii="Times New Roman" w:hAnsi="Times New Roman" w:cs="Times New Roman"/>
          <w:b/>
          <w:bCs/>
          <w:color w:val="auto"/>
          <w:sz w:val="24"/>
          <w:szCs w:val="24"/>
        </w:rPr>
        <w:t>2.2. BASES TEÓRICAS</w:t>
      </w:r>
      <w:bookmarkEnd w:id="21"/>
    </w:p>
    <w:p/>
    <w:p>
      <w:pPr>
        <w:spacing w:line="360" w:lineRule="auto"/>
        <w:jc w:val="both"/>
        <w:rPr>
          <w:rFonts w:ascii="Times New Roman" w:hAnsi="Times New Roman" w:eastAsia="Arial" w:cs="Times New Roman"/>
          <w:b/>
          <w:bCs/>
          <w:color w:val="000000" w:themeColor="text1"/>
          <w:lang w:val="es-MX"/>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 Definición:</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Anemia ferropénica es una patología por la cual el cuerpo no presenta una suficiente cantidad de glóbulos rojos sanos. Estos glóbulos rojos le suministraran oxígeno a los tejidos corporales.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{"citationID":"vfXcAGtS","properties":{"formattedCitation":"\\super 26\\nosupersub{}","plainCitation":"26","noteIndex":0},"citationItems":[{"id":1,"uris":["http://zotero.org/users/11989680/items/C7DMSMVD"],"itemData":{"id":1,"type":"article-journal","abstract":"Objetivo: Determinar los factores de riesgo asociados a la anemia  an le nia en niños menores de 5 años del Hospital II EsSalud Tarapoto. Agosto – Diciembre 2019. \nLos materiales y métodos: Se realizó un estudio analítico, retrospectivo, observacional de casos y controles, con una muestra de 54 niños menores de 5 años con anemia  an le nia para casos y 54 niños menores de 5 años para controles. \nLos resultados: El nivel de anemia ferropenia que predomina según valor de hemoglobina es anemia leve  con 64,8 % (n=35). Los factores asociados a anemia ferropenia son la edad del niño mayor de 12 meses (p &lt; 0,001) OR 6,236; con IC 95 % (2,138  a 18,191), ocupación que desempeña la madre fuera del Hogar (p 0,002) OR 1,630; con IC 95 % (0,513 a 0,773).  Antecedentes de Anemia materna (p 0,039) OR 2,556; con IC 95 % (1,438 a 1,705). Antecedentes de EDA (p 0,004) OR 3,455; con IC 95 % (1,556 a 7,668). Antecedentes de IRA (p 0,003) OR 18,000; con IC 95 % (4,560 a 1,050).  \nConclusión: Los factores de riesgo sociodemográficos (edad mayor de 12 meses, ocupación que desempeña la madre fuera del Hogar) y patológicos (Antecedentes de Anemia materna,  EDA, IRA) se asociaron de manera significativa con la anemia ferropénica en los niños en estudio.","container-title":"Universidad Nacional de San Martín - Tarapoto","language":"spa","license":"info:eu-repo/semantics/openAccess","note":"Accepted: 2020-03-10T19:44:26Z\npublisher: Universidad Nacional de San Martín - Tarapoto","source":"repositorio.unsm.edu.pe","title":"Factores de riesgo asociados a la anemia ferropénica en niños menores de 5 años del Hospital II EsSalud Tarapoto. Agosto – diciembre 2019","URL":"http://repositorio.unsm.edu.pe/handle/11458/3687","author":[{"family":"Bartra Rios","given":"Johan Luigi"}],"accessed":{"date-parts":[["2021",10,18]]},"issued":{"date-parts":[["2020"]]}}}],"schema":"https://github.com/citation-style-language/schema/raw/master/csl-citation.json"}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26</w:t>
      </w:r>
      <w:r>
        <w:rPr>
          <w:rFonts w:ascii="Times New Roman" w:hAnsi="Times New Roman" w:eastAsia="Arial" w:cs="Times New Roman"/>
          <w:color w:val="000000" w:themeColor="text1"/>
          <w:lang w:val="es-MX"/>
          <w14:textFill>
            <w14:solidFill>
              <w14:schemeClr w14:val="tx1"/>
            </w14:solidFill>
          </w14:textFill>
        </w:rPr>
        <w:fldChar w:fldCharType="end"/>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Se conoce como anemia a la reducción de la masa eritrocitaria y de la concentración de hemoglobina inferior a 2 DS respecto de la media para edad y sexo además la OMS estima que el valor límite de la hemoglobina para el sexo masculino es de 13 mg/dL, en el sexo femenino 12 mg/dL, en menores de 6 meses a 5 años y en gestantes es de 11gr/dL 23 . La forma más común de anemia en el Perú y el mundo es la Anemia ferropénica causada por déficit de hierro, esta patología es debida al déficit de hierro.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{"citationID":"9zTmhJhf","properties":{"formattedCitation":"\\super 27\\nosupersub{}","plainCitation":"27","noteIndex":0},"citationItems":[{"id":116,"uris":["http://zotero.org/users/11989680/items/Z6MWLS6D"],"itemData":{"id":116,"type":"webpage","abstract":"Anemia","language":"es","title":"Anemia","URL":"https://www.who.int/es/health-topics/anaemia","accessed":{"date-parts":[["2023",7,14]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27</w:t>
      </w:r>
      <w:r>
        <w:rPr>
          <w:rFonts w:ascii="Times New Roman" w:hAnsi="Times New Roman" w:eastAsia="Arial" w:cs="Times New Roman"/>
          <w:color w:val="000000" w:themeColor="text1"/>
          <w:lang w:val="es-MX"/>
          <w14:textFill>
            <w14:solidFill>
              <w14:schemeClr w14:val="tx1"/>
            </w14:solidFill>
          </w14:textFill>
        </w:rPr>
        <w:fldChar w:fldCharType="end"/>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El contenido nutricional de hierro depende del balance determinado por la relación entre los nutrientes de la dieta, la biodisponibilidad, las pérdidas y los requerimientos durante el crecimiento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{"citationID":"2OQbnBx4","properties":{"formattedCitation":"\\super 21\\nosupersub{}","plainCitation":"21","noteIndex":0},"citationItems":[{"id":42,"uris":["http://zotero.org/users/11989680/items/GVPAIAJ9"],"itemData":{"id":42,"type":"article-journal","abstract":"OBJETIVO: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con  la disrupción de este balance, en consecuencia se produce inicialmente la reducción de los depósitos de hierro para finalmente disminuir la reducción de la hemoglobina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{"citationID":"UVlcNsWc","properties":{"formattedCitation":"\\super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b/>
          <w:bCs/>
          <w:color w:val="000000" w:themeColor="text1"/>
          <w:lang w:val="es-MX"/>
          <w14:textFill>
            <w14:solidFill>
              <w14:schemeClr w14:val="tx1"/>
            </w14:solidFill>
          </w14:textFill>
        </w:rPr>
        <w:t xml:space="preserve"> Impacto epidemiológico:</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El impacto de la anemia en el Perú y en el mundo perdura a lo largo del tiempo, evidenciándose en una prevalencia significativamente alta. La anemia por deficiencia de hierro ocupa el quinto lugar como uno de los trastornos más comunes, según lo establecido en el estudio titulado "Carga mundial de morbilidad".</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{"citationID":"YUZ77veZ","properties":{"formattedCitation":"\\super 28\\nosupersub{}","plainCitation":"28","noteIndex":0},"citationItems":[{"id":47,"uris":["http://zotero.org/users/11989680/items/WCCZC6XM"],"itemData":{"id":47,"type":"article-journal","abstract":"Worldwide, the prevalence of anemia is high, and iron deficiency anemia is the fifth most common disorder according to the study called \"Global burden of disease\". It can be attributed to a number of factors, complex pathomechanisms, and etiology is highly variable in terms of age, gender, and geographical distribution. The prevalence of anemia increases with age. Demographic change and the aging of the population are now faster than in previous decades, posing major challenges to societies and health systems. The mean prevalence of anemia in the elderly is 17%, but significantly higher among nursing-home (47%) and hospitalized elderly (40%). The cause is usually multifactorial and often, due to comorbidities, several mechanisms are involved at the same time. The prevalence of preoperative anemia was higher (35%) than the prevalence of anemia in the general population, and evidence showed an unfavorable effect on postoperative morbidity and mortality. Timely identification and correction is a multidisciplinary task and a shared responsibility for both Patient Blood Management program and improving the patients' life expectancy. Orv Hetil. 2020; 161(37): 1569-1573.","container-title":"Orvosi Hetilap","DOI":"10.1556/650.2020.31916","ISSN":"1788-6120","issue":"37","journalAbbreviation":"Orv Hetil","language":"hun","note":"PMID: 32894736","page":"1569-1573","source":"PubMed","title":"[Epidemiology of anemia]","volume":"161","author":[{"family":"Marton","given":"Imelda"},{"family":"Agócs","given":"Szilvia"},{"family":"Babik","given":"Barna"}],"issued":{"date-parts":[["2020",9]]}}}],"schema":"https://github.com/citation-style-language/schema/raw/master/csl-citation.json"}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28</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 Según la OMS en el 2016 , en todo el mundo la anemia afectó entre 1620 a 2000 millones de personas 34,35(24.8%) teniendo una máxima prevalencia en los niños de preescolar 47.4%</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{"citationID":"qwdv28V7","properties":{"formattedCitation":"\\super 27\\nosupersub{}","plainCitation":"27","noteIndex":0},"citationItems":[{"id":116,"uris":["http://zotero.org/users/11989680/items/Z6MWLS6D"],"itemData":{"id":116,"type":"webpage","abstract":"Anemia","language":"es","title":"Anemia","URL":"https://www.who.int/es/health-topics/anaemia","accessed":{"date-parts":[["2023",7,14]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 En el 2018 la prevalencia de anemia en el Perú fue de 43.5% y aunque se considera un grave problema de salud pública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{"citationID":"DXJVSnyq","properties":{"formattedCitation":"\\super 18\\nosupersub{}","plainCitation":"18","noteIndex":0},"citationItems":[{"id":112,"uris":["http://zotero.org/users/11989680/items/JAMLPQQ6"],"itemData":{"id":112,"type":"article-journal","abstract":"General objective: To determine the factors of risk associated with the iron deficiency anemia in the 5-year-old minor children who are present at the service of Growth and Development of the Center of Health Aparicio Pomares - Huánuco 2018. Methods: There was realized an analytical relational study in 62 five-year-old minor children, using a questionnaire of factors of risk and a card of documentary analysis in the compilation of the information; in the analysis inferential the test of the Chi Cuadrado’s was in use with a level of significanciap≤0,05. Results: The 45,2 % of evaluated children presented iron deficiency anemia. The factors of risk that were associated with the iron deficiency anemia were to be of rural origin (p=0,014); under mother degree of education (p=0,001); under economic monthly revenue (p=0,029); occupation of the mother out of the home (p=0,003); inadequate mother exclusive lactation (p=0,050); deficient consumption of rich food in iron (p=0,002); inadequate consumption of citric refreshments (p=0,004); deficient consumption of fruit a nd vegetables of green color (p=0,028); consumption of inhibiting food of iron (p=0,002); consumption of food scrap (p=0,044); accumulation (p=0,028); not to have access to drinkable water (p=0,013); precedents of anemia in the mother (p=0,014), precedents of parasitoids intestinal (p=0,001); Precedents of diseases diarreicas sharp (p=0,003).. Conclusions: The factors of risk socio-demographic, nutritional, environmental and pathological they associated in a significant way with the iron deficiency anemia i n the children in study. Key words: Factors of Risk, Iron deficiency anemia, 5 -year-old minor Children.","language":"es","source":"Zotero","title":"PARA OPTAR EL TÍTULO PROFESIONAL DE LICENCIADO(A) EN ENFERMERÍA","author":[{"family":"Tacuchi","given":"Bach Enf MALLQUI"},{"family":"Elí","given":"Darwin"},{"family":"Tarazona","given":"Bach Enf ROBLES"},{"family":"Patricia","given":"Lizbeth"},{"family":"Albornoz","given":"Bach Enf SÁNCHEZ"},{"family":"Deisy","given":"Kely"}]}}],"schema":"https://github.com/citation-style-language/schema/raw/master/csl-citation.json"}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18</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 además, se han desarrollado múltiples estrategias con el objetivo de reducir la prevalencia de esta enfermedad y abordar su impacto económico en el estado. Para el año 2019, la prevalencia se situó en un preocupante 42.2%, lo que indica la persistencia de este problema de manera significativa. A pesar de un descenso notable, este no ha sido suficiente, lo que subraya la importancia de continuar siguiendo las directrices y políticas de trabajo establecidas en los planes nacionales del Ministerio de Salud (MINSA).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{"citationID":"GjzQp7KP","properties":{"formattedCitation":"\\super 9\\nosupersub{}","plainCitation":"9","noteIndex":0},"citationItems":[{"id":52,"uris":["http://zotero.org/users/11989680/items/5U4IZ8W8"],"itemData":{"id":52,"type":"article-journal","abstract":"En el mundo la deficiencia de hierro afecta a 2000 millones de personas y de ellos 1,600 millones tienen anemia por deficiencia de hierro1,2. De ellos un 47,4 % son pre-escolares, 25,4% son escolares, 41,8% son gestantes y 30,2% son mujeres en edad fértil . La severidad del problema es establecida por la OMS según el grado de prevalencia, y se considera severo si afecta a más del 40% de la población, moderado si afecta entre el 20 y 40% de la población, y leve si afecta a menos del 20% . En América Latina se reporta que afecta a 50% de niños menores de 5 años, 75% de niños menores de 2 años; 10 a 30 % de mujeres en edad reproductiva y al 40 a 70% de las mujeres embarazadas . En el Perú existe sub registro de la anemia. MINSA reporta el diagnóstico de anemia ferropénica en sólo 2.1% de las consultas ambulatorias4 , mientras la encuesta ENDES 2015 reporta que el problema es serio para población de niños más pequeños. Según esta última publicación de INEI, el 31% de los niños menores de 5 años encuestados tiene anemia, y está presente en casi 60% de menores de 2 años, en 20,7% de las mujeres entre 15 y 49 años, y en 28% de las gestantes.\nDOI:https://doi.org/10.25176/RFMH.v16.n2.672","container-title":"Revista de la Facultad de Medicina Humana","ISSN":"2308-0531","issue":"3","language":"es","license":"Copyright (c) 2017 Revista de la Facultad de Medicina Humana","note":"number: 3","source":"revistas.urp.edu.pe","title":"ANEMIA EN LA POBLACIÓN PEDIÁTRICA DEL PERÚ","URL":"http://revistas.urp.edu.pe/index.php/RFMH/article/view/672","volume":"16","author":[{"family":"Águila-Villar","given":"Carlos","dropping-particle":"del"},{"family":"Chávez-Tejada","given":"Eliana"},{"family":"Romero-Guzmán","given":"Alberto"},{"family":"Román-Blas","given":"Zulema"},{"family":"Núñez-Almache","given":"Oswaldo"}],"accessed":{"date-parts":[["2022",11,28]]},"issued":{"date-parts":[["2016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9</w:t>
      </w:r>
      <w:r>
        <w:rPr>
          <w:rFonts w:ascii="Times New Roman" w:hAnsi="Times New Roman" w:eastAsia="Arial" w:cs="Times New Roman"/>
          <w:color w:val="000000" w:themeColor="text1"/>
          <w:lang w:val="es-MX"/>
          <w14:textFill>
            <w14:solidFill>
              <w14:schemeClr w14:val="tx1"/>
            </w14:solidFill>
          </w14:textFill>
        </w:rPr>
        <w:fldChar w:fldCharType="end"/>
      </w:r>
    </w:p>
    <w:p>
      <w:pPr>
        <w:spacing w:line="360" w:lineRule="auto"/>
        <w:jc w:val="both"/>
        <w:rPr>
          <w:rFonts w:ascii="Times New Roman" w:hAnsi="Times New Roman" w:eastAsia="Arial" w:cs="Times New Roman"/>
          <w:color w:val="000000" w:themeColor="text1"/>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Causas:</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 xml:space="preserve"> </w:t>
      </w:r>
      <w:r>
        <w:rPr>
          <w:rFonts w:ascii="Times New Roman" w:hAnsi="Times New Roman" w:eastAsia="Arial" w:cs="Times New Roman"/>
          <w:color w:val="000000" w:themeColor="text1"/>
          <w:lang w:val="es-MX"/>
          <w14:textFill>
            <w14:solidFill>
              <w14:schemeClr w14:val="tx1"/>
            </w14:solidFill>
          </w14:textFill>
        </w:rPr>
        <w:t>Las situaciones principales se dividen en tres grupos fundamentales, los cuales no se excluyen mutuamente y adquieren significados distintos en diversas etapas de la vida: una aportación insuficiente, problemas en la absorción y pérdida de sangre crónica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{"citationID":"TMu44NpA","properties":{"formattedCitation":"\\super 29\\nosupersub{}","plainCitation":"29","noteIndex":0},"citationItems":[{"id":55,"uris":["http://zotero.org/users/11989680/items/CRLMVR6A"],"itemData":{"id":55,"type":"article-journal","language":"es","page":"87","source":"Zotero","title":"Temas de Formación Continuada","author":[{"family":"Merino","given":"A Hernández"},{"family":"Baviera","given":"L C Blesa"},{"family":"García","given":"H González"},{"family":"Molpeceres","given":"R Garrote"},{"family":"Rodríguez","given":"E Urbaneja"},{"family":"Bravo","given":"A Cervera"},{"family":"Román","given":"M T Álvarez"},{"family":"Urturi","given":"A Fierro"},{"family":"Valls","given":"M Melo"},{"family":"Carrillo","given":"T Murciano"},{"family":"Losa","given":"F Campayo"},{"family":"Vidal","given":"J Almendros"},{"family":"Fonseca","given":"A L Leandro"},{"family":"García","given":"J M Olmos"}]}}],"schema":"https://github.com/citation-style-language/schema/raw/master/csl-citation.json"}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29</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i/>
          <w:iCs/>
          <w:color w:val="000000" w:themeColor="text1"/>
          <w:lang w:val="es-MX"/>
          <w14:textFill>
            <w14:solidFill>
              <w14:schemeClr w14:val="tx1"/>
            </w14:solidFill>
          </w14:textFill>
        </w:rPr>
        <w:t xml:space="preserve"> </w:t>
      </w:r>
      <w:r>
        <w:rPr>
          <w:rFonts w:ascii="Times New Roman" w:hAnsi="Times New Roman" w:eastAsia="Arial" w:cs="Times New Roman"/>
          <w:b/>
          <w:bCs/>
          <w:i/>
          <w:iCs/>
          <w:color w:val="000000" w:themeColor="text1"/>
          <w:lang w:val="es-MX"/>
          <w14:textFill>
            <w14:solidFill>
              <w14:schemeClr w14:val="tx1"/>
            </w14:solidFill>
          </w14:textFill>
        </w:rPr>
        <w:t>Aporte insuficiente de hierro:</w:t>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Por lo general, los niveles de hemoglobina son elevados al momento del nacimiento, y durante los primeros días de vida, experimentan un descenso natural hasta alcanzar valores de alrededor de 9-10 g/dL entre el segundo y el sexto mes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{"citationID":"u32DDryE","properties":{"formattedCitation":"\\super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Los bebés menores de un año presentan las demandas nutricionales más altas en comparación con cualquier otra etapa de la vida. Hasta los 6 meses, su necesidad de hierro (0.27 mg/día) se satisface con las reservas adquiridas durante el embarazo. Sin embargo, a partir de los 7 a 12 meses, su requerimiento aumenta a 11 mg/día. </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{"citationID":"OLZxs9KZ","properties":{"formattedCitation":"\\super 26\\nosupersub{}","plainCitation":"26","noteIndex":0},"citationItems":[{"id":1,"uris":["http://zotero.org/users/11989680/items/C7DMSMVD"],"itemData":{"id":1,"type":"article-journal","abstract":"Objetivo: Determinar los factores de riesgo asociados a la anemia  an le nia en niños menores de 5 años del Hospital II EsSalud Tarapoto. Agosto – Diciembre 2019. \nLos materiales y métodos: Se realizó un estudio analítico, retrospectivo, observacional de casos y controles, con una muestra de 54 niños menores de 5 años con anemia  an le nia para casos y 54 niños menores de 5 años para controles. \nLos resultados: El nivel de anemia ferropenia que predomina según valor de hemoglobina es anemia leve  con 64,8 % (n=35). Los factores asociados a anemia ferropenia son la edad del niño mayor de 12 meses (p &lt; 0,001) OR 6,236; con IC 95 % (2,138  a 18,191), ocupación que desempeña la madre fuera del Hogar (p 0,002) OR 1,630; con IC 95 % (0,513 a 0,773).  Antecedentes de Anemia materna (p 0,039) OR 2,556; con IC 95 % (1,438 a 1,705). Antecedentes de EDA (p 0,004) OR 3,455; con IC 95 % (1,556 a 7,668). Antecedentes de IRA (p 0,003) OR 18,000; con IC 95 % (4,560 a 1,050).  \nConclusión: Los factores de riesgo sociodemográficos (edad mayor de 12 meses, ocupación que desempeña la madre fuera del Hogar) y patológicos (Antecedentes de Anemia materna,  EDA, IRA) se asociaron de manera significativa con la anemia ferropénica en los niños en estudio.","container-title":"Universidad Nacional de San Martín - Tarapoto","language":"spa","license":"info:eu-repo/semantics/openAccess","note":"Accepted: 2020-03-10T19:44:26Z\npublisher: Universidad Nacional de San Martín - Tarapoto","source":"repositorio.unsm.edu.pe","title":"Factores de riesgo asociados a la anemia ferropénica en niños menores de 5 años del Hospital II EsSalud Tarapoto. Agosto – diciembre 2019","URL":"http://repositorio.unsm.edu.pe/handle/11458/3687","author":[{"family":"Bartra Rios","given":"Johan Luigi"}],"accessed":{"date-parts":[["2021",10,18]]},"issued":{"date-parts":[["2020"]]}}}],"schema":"https://github.com/citation-style-language/schema/raw/master/csl-citation.json"}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los niños y niñas de 1 a 8 años los requerimientos de hierro son menores en comparación al grupo etario previamente mencionado, la recomendación de ingesta de hierro es de 7-10 mg/día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{"citationID":"YXIctEQ6","properties":{"formattedCitation":"\\super 21\\nosupersub{}","plainCitation":"21","noteIndex":0},"citationItems":[{"id":42,"uris":["http://zotero.org/users/11989680/items/GVPAIAJ9"],"itemData":{"id":42,"type":"article-journal","abstract":"OBJETIVO: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En este contexto, la anemia por deficiencia de hierro es más común durante los meses en los que las necesidades de hierro se incrementan y la ingesta de hierro a través de la alimentación es relativamente limitada, especialmente durante el primer año de vida. </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{"citationID":"V0sJ4Ovu","properties":{"formattedCitation":"\\super 30\\nosupersub{}","plainCitation":"30","noteIndex":0},"citationItems":[{"id":69,"uris":["http://zotero.org/users/11989680/items/LBH4V4ZW"],"itemData":{"id":69,"type":"article-journal","abstract":"CONTEXT: Although effective health and nutrition interventions for reducing child mortality and morbidity exist, direct evidence of effects on cognitive, motor, and psychosocial development is lacking.\nOBJECTIVE: To review existing evidence for health and nutrition interventions affecting direct measures of (and pathways to) early child development.\nDATA SOURCES: Reviews and recent overviews of interventions across the continuum of care and component studies.\nSTUDY SELECTION: We selected systematic reviews detailing the effectiveness of health or nutrition interventions that have plausible links to child development and/or contain direct measures of cognitive, motor, and psychosocial development.\nDATA EXTRACTION: A team of reviewers independently extracted data and assessed their quality.\nRESULTS: Sixty systematic reviews contained the outcomes of interest. Various interventions reduced morbidity and improved child growth, but few had direct measures of child development. Of particular benefit were food and micronutrient supplementation for mothers to reduce the risk of small for gestational age and iodine deficiency, strategies to reduce iron deficiency anemia in infancy, and early neonatal care (appropriate resuscitation, delayed cord clamping, and Kangaroo Mother Care). Neuroprotective interventions for imminent preterm birth showed the largest effect sizes (antenatal corticosteroids for developmental delay: risk ratio 0.49, 95% confidence interval 0.24 to 1.00; magnesium sulfate for gross motor dysfunction: risk ratio 0.61, 95% confidence interval 0.44 to 0.85).\nLIMITATIONS: Given the focus on high-quality studies captured in leading systematic reviews, only effects reported within studies included in systematic reviews were captured.\nCONCLUSIONS: These findings should guide the prioritization and scale-up of interventions within critical periods of early infancy and childhood, and encourage research into their implementation at scale.","container-title":"Pediatrics","DOI":"10.1542/peds.2016-4308","ISSN":"1098-4275","issue":"2","journalAbbreviation":"Pediatrics","language":"eng","note":"PMID: 28771408","page":"e20164308","source":"PubMed","title":"Promoting Early Child Development With Interventions in Health and Nutrition: A Systematic Review","title-short":"Promoting Early Child Development With Interventions in Health and Nutrition","volume":"140","author":[{"family":"Vaivada","given":"Tyler"},{"family":"Gaffey","given":"Michelle F."},{"family":"Bhutta","given":"Zulfiqar A."}],"issued":{"date-parts":[["2017",8]]}}}],"schema":"https://github.com/citation-style-language/schema/raw/master/csl-citation.json"}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30</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Durante los primeros 6 meses de vida, un bebé nacido a término y que se alimenta exclusivamente con leche materna tiene un menor riesgo de desarrollar anemia. Sin embargo, a partir de los 6 meses, es necesario proporcionar al bebé un suplemento de hierro junto con una alimentación complementaria apropiada en su dieta para asegurar un adecuado suministro de este mineral conocido como hierro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{"citationID":"bj1IEHxd","properties":{"formattedCitation":"\\super 31\\nosupersub{}","plainCitation":"31","noteIndex":0},"citationItems":[{"id":14,"uris":["http://zotero.org/users/11989680/items/K4WXWFI5"],"itemData":{"id":14,"type":"article-journal","abstract":"Introduction: Despite the reduction of poverty in Perú, the prevalence of anemia in the country remains high. Objective: To identify socio-demographic, child and maternal-child care factors associated with anemia in children between 6 and 35 months in Perú. Materials and methods: We conducted an analytical and descriptive study that included registered data from the national survey on demography and family health, 2007-2013, on children between 6 and 35 months old, including the measurement of blood hemoglobin. Anemia was confirmed by hemoglobin-altitude corrected values below 11 mg/dl. We used multivariate logistic regression models to assess potential associated factors for anemia. Results: Anemia prevalence was high (47.9%). Twelve factors were independently associated with anemia in children: Socio-demographic factors such as living outside Lima and Callao, in a low socioeconomic household, and having an adolescent mother with low education level; child-related factors as being male, younger than 24 months of age, and having fever in the previous two weeks, and maternal-child care factors such as lack of prenatal control in the first trimester of pregnancy, lack or short period of iron supplementation during pregnancy, house delivery, anemia detection at the moment of the survey, and lack of intestinal anti-parasite preventive treatment in the child. Conclusions: The analysis of survey data provided valuable information about factors associated with anemia in children between 6 and 35 months, which can be used to increase the coverage and effectiveness of maternal-child care practices.","container-title":"Biomédica","DOI":"10.7705/biomedica.v36i2.2896","ISSN":"2590-7379","issue":"2","language":"en","license":"Derechos de autor","note":"number: 2","page":"220-229","source":"revistabiomedica.org","title":"Factors associated with anemia in children under three years of age in Perú: analysis of the Encuesta Demográfica y de Salud Familiar, ENDES, 2007-2013","title-short":"Factors associated with anemia in children under three years of age in Perú","volume":"36","author":[{"family":"Velásquez-Hurtado","given":"José Enrique"},{"family":"Rodríguez","given":"Yuleika"},{"family":"Gonzáles","given":"Marco"},{"family":"Astete-Robilliard","given":"Laura"},{"family":"Loyola-Romaní","given":"Jessica"},{"family":"Vigo","given":"Walter Eduardo"},{"family":"Rosas-Aguirre","given":"Ángel Martín"}],"issued":{"date-parts":[["2016",6,1]]}}}],"schema":"https://github.com/citation-style-language/schema/raw/master/csl-citation.json"}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El principal problema en el Perú radica en la carencia nutritiva debido a una alimentación exclusiva de lactancia materna más allá de los 6 meses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{"citationID":"5ePbTyBH","properties":{"formattedCitation":"\\super 18\\nosupersub{}","plainCitation":"18","noteIndex":0},"citationItems":[{"id":112,"uris":["http://zotero.org/users/11989680/items/JAMLPQQ6"],"itemData":{"id":112,"type":"article-journal","abstract":"General objective: To determine the factors of risk associated with the iron deficiency anemia in the 5-year-old minor children who are present at the service of Growth and Development of the Center of Health Aparicio Pomares - Huánuco 2018. Methods: There was realized an analytical relational study in 62 five-year-old minor children, using a questionnaire of factors of risk and a card of documentary analysis in the compilation of the information; in the analysis inferential the test of the Chi Cuadrado’s was in use with a level of significanciap≤0,05. Results: The 45,2 % of evaluated children presented iron deficiency anemia. The factors of risk that were associated with the iron deficiency anemia were to be of rural origin (p=0,014); under mother degree of education (p=0,001); under economic monthly revenue (p=0,029); occupation of the mother out of the home (p=0,003); inadequate mother exclusive lactation (p=0,050); deficient consumption of rich food in iron (p=0,002); inadequate consumption of citric refreshments (p=0,004); deficient consumption of fruit a nd vegetables of green color (p=0,028); consumption of inhibiting food of iron (p=0,002); consumption of food scrap (p=0,044); accumulation (p=0,028); not to have access to drinkable water (p=0,013); precedents of anemia in the mother (p=0,014), precedents of parasitoids intestinal (p=0,001); Precedents of diseases diarreicas sharp (p=0,003).. Conclusions: The factors of risk socio-demographic, nutritional, environmental and pathological they associated in a significant way with the iron deficiency anemia i n the children in study. Key words: Factors of Risk, Iron deficiency anemia, 5 -year-old minor Children.","language":"es","source":"Zotero","title":"PARA OPTAR EL TÍTULO PROFESIONAL DE LICENCIADO(A) EN ENFERMERÍA","author":[{"family":"Tacuchi","given":"Bach Enf MALLQUI"},{"family":"Elí","given":"Darwin"},{"family":"Tarazona","given":"Bach Enf ROBLES"},{"family":"Patricia","given":"Lizbeth"},{"family":"Albornoz","given":"Bach Enf SÁNCHEZ"},{"family":"Deisy","given":"Kely"}]}}],"schema":"https://github.com/citation-style-language/schema/raw/master/csl-citation.json"}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18</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formulas no enriquecidas en hierro en la alimentación complementaria, la introducción de leche entera de vaca precoz antes de los 12 meses, alimentación con leche no suplementada y harinas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{"citationID":"dxpyjrpH","properties":{"formattedCitation":"\\super 24\\nosupersub{}","plainCitation":"24","noteIndex":0},"citationItems":[{"id":88,"uris":["http://zotero.org/users/11989680/items/UYWY7RG3"],"itemData":{"id":88,"type":"article-journal","abstract":"En el contexto del derecho a la vida –y particularmente a la vida de los niños y su bienestar integral- la legislación nacional e internacional consagran este derecho. Al ser la anemia uno de los factores que más influye tanto en la morbilidad infantil, así como en el desarrollo de sus facultades, es indispensable validar estrategias conducentes a su disminución/eliminación. La investigación se sustentó en el marco conceptual del Plan Nacional para la Reducción y Control de la Anemia Materno Infantil en el Perú, 2017-2021. En este sentido y a partir de la opinión de expertos, médicos, nutricionistas, madres líderes, entre otros, la propuesta fue demostrar el alcance de una intervención educativa que permitiera la reducción de la anemia en niños entre 6 y menos de 36 meses de edad entre octubre 2018 y febrero 2019 en el asentamiento humano Flor de Amancaes. Se concluye que el control y efecto de la anemia en áreas urbano marginales en el Perú dependerá del nivel de educación, de la capacitación con acompañamiento de los padres de familia y del compromiso legal del Estado en velar por el derecho a la vida a través del cuidado nutricional de nuestros niños.DOIhttps://doi.org/10.24265/voxjuris.2019.v37n2.10","container-title":"Vox Juris","DOI":"https://doi.org/10.24265/voxjuris.2019.v37n2.10","ISSN":"2521-5280","issue":"2","language":"es","license":"Copyright (c) 2019 Ivan Hidalgo Romero","note":"number: 2","page":"143-154","source":"www.aulavirtualusmp.pe","title":"Relevancia de la intervención educativa como factor preventivo de la anemia en niños entre 6 y 36 meses: el caso del área urbano marginal de flor de amancaes, lima, perú","title-short":"Relevancia de la intervención educativa como factor preventivo de la anemia en niños entre 6 y 36 meses","volume":"37","author":[{"family":"Romero","given":"Ivan Hidalgo"}],"issued":{"date-parts":[["2019",7,11]]}}}],"schema":"https://github.com/citation-style-language/schema/raw/master/csl-citation.json"}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24</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composición de la leche materna proporciona las cantidades adecuadas de hidratos de carbono, siendo la lactosa el más abundante, proteínas como caseína, lactoalbúmina y la lactoferrina, ácidos grasos saturados y poliinsaturados de cadena larga, colesterol vitaminas y minerales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{"citationID":"zI7GiPYt","properties":{"formattedCitation":"\\super 32\\nosupersub{}","plainCitation":"32","noteIndex":0},"citationItems":[{"id":58,"uris":["http://zotero.org/users/11989680/items/NKAH73BE"],"itemData":{"id":58,"type":"article-journal","abstract":"The Eastern Mediterranean Regions and Europe and Central Asia Regions are facing an epidemiological and nutrition transition, especially among vulnerable groups including mothers, children and adolescents. This has led to a double burden of malnutrition (DBM). Poor infant and young child feeding (IYCF), poor dietary diversity, excessive consumption of energy dense unhealthy foods, a growing obesogenic environment for children, including aggressive marketing of unhealthy foods for children, and reduced physical activity are among the main causes. In addition, several countries in the region lack the nutrition governance capacity to respond effectively to the DBM. This article reviews the context and provides a set of conclusions in which countries are called to reduce the marketing of unhealthy foods for children, enforce the fortification of staple foods with micronutrients to reduce micronutrient deficiencies and improve IYCF, including breastfeeding in the region. Also, the call is strong for cross-border multi-sectoral efforts to address the DBM in these regions.","container-title":"Annals of Nutrition and Metabolism","DOI":"10.1159/000503673","ISSN":"0250-6807, 1421-9697","issue":"2","journalAbbreviation":"ANM","language":"english","note":"publisher: Karger Publishers\nPMID: 31743908","page":"135-138","source":"www.karger.com","title":"Regional Overview on Maternal and Child Nutrition and Examples of Nutrition Governance and Policy Responses: Europe, Central Asia and Eastern Mediterranean Regions","title-short":"Regional Overview on Maternal and Child Nutrition and Examples of Nutrition Governance and Policy Responses","volume":"75","author":[{"family":"Yarparvar","given":"Amirhossein"},{"family":"Jewell","given":"Jo Martin"},{"family":"Al-Jawaldeh","given":"Ayoub"}],"issued":{"date-parts":[["2019"]]}}}],"schema":"https://github.com/citation-style-language/schema/raw/master/csl-citation.json"}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color w:val="000000" w:themeColor="text1"/>
          <w14:textFill>
            <w14:solidFill>
              <w14:schemeClr w14:val="tx1"/>
            </w14:solidFill>
          </w14:textFill>
        </w:rPr>
        <w:t xml:space="preserve"> </w:t>
      </w:r>
      <w:r>
        <w:rPr>
          <w:rFonts w:ascii="Times New Roman" w:hAnsi="Times New Roman" w:eastAsia="Arial" w:cs="Times New Roman"/>
          <w:color w:val="000000" w:themeColor="text1"/>
          <w:lang w:val="es-MX"/>
          <w14:textFill>
            <w14:solidFill>
              <w14:schemeClr w14:val="tx1"/>
            </w14:solidFill>
          </w14:textFill>
        </w:rPr>
        <w:t>El hierro en la leche materna puede estar en baja concentración, pero este presenta una biodisponibilidad muy elevada con lo que la leche materna cubre las necesidades de hierro del lactante hasta el sexto mes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{"citationID":"Rbisak4v","properties":{"formattedCitation":"\\super 13\\nosupersub{}","plainCitation":"13","noteIndex":0},"citationItems":[{"id":21,"uris":["http://zotero.org/users/11989680/items/UTH8LHSQ"],"itemData":{"id":21,"type":"article-journal","abstract":"OBJECTIVE: To assess associations between breastfeeding and iron status at 9 months of age in 2 samples of Chinese infants.\nSTUDY DESIGN: Associations between feeding at 9 months of age (breastfed as sole milk source, mixed fed, or formula fed) and iron deficiency anemia (IDA), iron deficiency, and iron sufficiency were determined in infants from Zhejiang (n = 142) and Hebei (n= 813) provinces. Iron deficiency was defined as body iron &lt; 0 mg/kg, and IDA as iron deficiency + hemoglobin &lt; 110 g/L. Multiple logistic regression assessed associations between feeding pattern and iron status.\nRESULTS: Breastfeeding was associated with iron status (P &lt; .001). In Zhejiang, 27.5% of breastfed infants had IDA compared with 0% of formula-fed infants. The odds of iron deficiency/IDA were increased in breastfed and mixed-fed infants compared with formula-fed infants: breastfed vs formula-fed OR, 28.8 (95% CI, 3.7-226.4) and mixed-fed vs formula-fed OR, 11.0 (95% CI, 1.2-103.2). In Hebei, 44.0% of breastfed infants had IDA compared with 2.8% of formula-fed infants. With covariable adjustment, odds of IDA were increased in breastfed and mixed-fed groups: breastfed vs formula-fed OR, 78.8 (95% CI, 27.2-228.1) and mixed-fed vs formula-fed OR, 21.0 (95% CI, 7.3-60.9).\nCONCLUSIONS: In both cohorts, the odds of iron deficiency/IDA at 9 months of age were increased in breastfed and mixed-fed infants, and iron deficiency/IDA was common. Although the benefits of breastfeeding are indisputable, these findings add to the evidence that breastfeeding in later infancy identifies infants at risk for iron deficiency/IDA in many settings. Protocols for detecting and preventing iron deficiency/IDA in breastfed infants are needed.\nTRIAL REGISTRATION: ClinicalTrials.gov: NCT00642863 and NCT00613717.","container-title":"The Journal of Pediatrics","DOI":"10.1016/j.jpeds.2016.10.041","ISSN":"1097-6833","journalAbbreviation":"J Pediatr","language":"eng","note":"PMID: 27836288\nPMCID: PMC5274569","page":"56-61","source":"PubMed","title":"Breastfeeding, Mixed, or Formula Feeding at 9 Months of Age and the Prevalence of Iron Deficiency and Iron Deficiency Anemia in Two Cohorts of Infants in China","volume":"181","author":[{"family":"Clark","given":"Katy M."},{"family":"Li","given":"Ming"},{"family":"Zhu","given":"Bingquan"},{"family":"Liang","given":"Furong"},{"family":"Shao","given":"Jie"},{"family":"Zhang","given":"Yueyang"},{"family":"Ji","given":"Chai"},{"family":"Zhao","given":"Zhengyan"},{"family":"Kaciroti","given":"Niko"},{"family":"Lozoff","given":"Betsy"}],"issued":{"date-parts":[["2017",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Por ello, el incumplimiento de la lactancia materna exclusiva durante los primeros seis meses es un factor de riesgo para desarrollar anemia ferropénica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{"citationID":"GoRIPAMT","properties":{"formattedCitation":"\\super 9\\nosupersub{}","plainCitation":"9","noteIndex":0},"citationItems":[{"id":52,"uris":["http://zotero.org/users/11989680/items/5U4IZ8W8"],"itemData":{"id":52,"type":"article-journal","abstract":"En el mundo la deficiencia de hierro afecta a 2000 millones de personas y de ellos 1,600 millones tienen anemia por deficiencia de hierro1,2. De ellos un 47,4 % son pre-escolares, 25,4% son escolares, 41,8% son gestantes y 30,2% son mujeres en edad fértil . La severidad del problema es establecida por la OMS según el grado de prevalencia, y se considera severo si afecta a más del 40% de la población, moderado si afecta entre el 20 y 40% de la población, y leve si afecta a menos del 20% . En América Latina se reporta que afecta a 50% de niños menores de 5 años, 75% de niños menores de 2 años; 10 a 30 % de mujeres en edad reproductiva y al 40 a 70% de las mujeres embarazadas . En el Perú existe sub registro de la anemia. MINSA reporta el diagnóstico de anemia ferropénica en sólo 2.1% de las consultas ambulatorias4 , mientras la encuesta ENDES 2015 reporta que el problema es serio para población de niños más pequeños. Según esta última publicación de INEI, el 31% de los niños menores de 5 años encuestados tiene anemia, y está presente en casi 60% de menores de 2 años, en 20,7% de las mujeres entre 15 y 49 años, y en 28% de las gestantes.\nDOI:https://doi.org/10.25176/RFMH.v16.n2.672","container-title":"Revista de la Facultad de Medicina Humana","ISSN":"2308-0531","issue":"3","language":"es","license":"Copyright (c) 2017 Revista de la Facultad de Medicina Humana","note":"number: 3","source":"revistas.urp.edu.pe","title":"ANEMIA EN LA POBLACIÓN PEDIÁTRICA DEL PERÚ","URL":"http://revistas.urp.edu.pe/index.php/RFMH/article/view/672","volume":"16","author":[{"family":"Águila-Villar","given":"Carlos","dropping-particle":"del"},{"family":"Chávez-Tejada","given":"Eliana"},{"family":"Romero-Guzmán","given":"Alberto"},{"family":"Román-Blas","given":"Zulema"},{"family":"Núñez-Almache","given":"Oswaldo"}],"accessed":{"date-parts":[["2022",11,28]]},"issued":{"date-parts":[["2016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9</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Además, se está acumulando evidencia de que la lactancia materna exclusiva (LME) más de 6 meses o inicio tardío de la ablactancia podría ser también considerado un factor contribuyente a la anemia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{"citationID":"BndmAqzY","properties":{"formattedCitation":"\\super 33\\nosupersub{}","plainCitation":"33","noteIndex":0},"citationItems":[{"id":124,"uris":["http://zotero.org/users/11989680/items/ZEY4P3JX"],"itemData":{"id":124,"type":"webpage","title":"Prevención y cribado de la ferropenia en lactantes","URL":"https://scielo.isciii.es/scielo.php?script=sci_arttext&amp;pid=S1139-76322012000100013","accessed":{"date-parts":[["2023",7,15]]}}}],"schema":"https://github.com/citation-style-language/schema/raw/master/csl-citation.json"}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En los EE. UU., se informó que los bebés amamantados durante 6 meses o más tenían un mayor riesgo de presentar deficiencia de hierro que los bebés que no lo hacían</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{"citationID":"xT31JjQ7","properties":{"formattedCitation":"\\super 34\\nosupersub{}","plainCitation":"34","noteIndex":0},"citationItems":[{"id":62,"uris":["http://zotero.org/users/11989680/items/YXJXCGG4"],"itemData":{"id":62,"type":"webpage","title":"Iron deficiency in infants and children &lt;12 years: Treatment - UpToDate","URL":"https://www.uptodate.com/contents/iron-deficiency-in-infants-and-children-less-than12-years-treatment?search=irondeficiency-in-infants-and-children-less-than12-years-treatment&amp;source=search_result&amp;selectedTitle=1~150&amp;usage_type=default&amp;display_rank=1","accessed":{"date-parts":[["2022",11,28]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34</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Otros estudios en todo el mundo informaron asociaciones entre un deficiente estado de hierro y la lactancia materna en el segundo semestre de vida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{"citationID":"SMAGHyP3","properties":{"formattedCitation":"\\super 21\\nosupersub{}","plainCitation":"21","noteIndex":0},"citationItems":[{"id":42,"uris":["http://zotero.org/users/11989680/items/GVPAIAJ9"],"itemData":{"id":42,"type":"article-journal","abstract":"OBJETIVO: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el bajo peso al nacer: Se define como aquel recién nacido que pesa menos de 2 500 kg y su edad gestacional es adecuada, esto es, entre 37 y 42 semanas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{"citationID":"YAtDrDUi","properties":{"formattedCitation":"\\super 29\\nosupersub{}","plainCitation":"29","noteIndex":0},"citationItems":[{"id":55,"uris":["http://zotero.org/users/11989680/items/CRLMVR6A"],"itemData":{"id":55,"type":"article-journal","language":"es","page":"87","source":"Zotero","title":"Temas de Formación Continuada","author":[{"family":"Merino","given":"A Hernández"},{"family":"Baviera","given":"L C Blesa"},{"family":"García","given":"H González"},{"family":"Molpeceres","given":"R Garrote"},{"family":"Rodríguez","given":"E Urbaneja"},{"family":"Bravo","given":"A Cervera"},{"family":"Román","given":"M T Álvarez"},{"family":"Urturi","given":"A Fierro"},{"family":"Valls","given":"M Melo"},{"family":"Carrillo","given":"T Murciano"},{"family":"Losa","given":"F Campayo"},{"family":"Vidal","given":"J Almendros"},{"family":"Fonseca","given":"A L Leandro"},{"family":"García","given":"J M Olmos"}]}}],"schema":"https://github.com/citation-style-language/schema/raw/master/csl-citation.json"}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29</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En la norma técnica titulada "Manejo Terapéutico y Preventivo de la Anemia en Niños, Adolescentes, Mujeres Gestantes y Puérperas", de acuerdo con esta directiva, la suplementación preventiva con hierro se proporciona a niños prematuros a partir de los 30 días de nacidos y a niños nacidos a término desde el cuarto mes hasta los 35 meses de edad</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{"citationID":"SNwmCZTb","properties":{"formattedCitation":"\\super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color w:val="000000" w:themeColor="text1"/>
          <w14:textFill>
            <w14:solidFill>
              <w14:schemeClr w14:val="tx1"/>
            </w14:solidFill>
          </w14:textFill>
        </w:rPr>
        <w:t xml:space="preserve"> </w:t>
      </w:r>
      <w:r>
        <w:rPr>
          <w:rFonts w:ascii="Times New Roman" w:hAnsi="Times New Roman" w:eastAsia="Arial" w:cs="Times New Roman"/>
          <w:color w:val="000000" w:themeColor="text1"/>
          <w:lang w:val="es-MX"/>
          <w14:textFill>
            <w14:solidFill>
              <w14:schemeClr w14:val="tx1"/>
            </w14:solidFill>
          </w14:textFill>
        </w:rPr>
        <w:t>Varios estudios han encontrado que la suplementación con hierro aumenta los niveles de indicadores hematológicos o el estado del hierro y reduce la frecuencia de anemia o deficiencia de hierro en recién nacidos prematuros o de bajo peso al nacer</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{"citationID":"hlTtpFja","properties":{"formattedCitation":"\\super 34\\nosupersub{}","plainCitation":"34","noteIndex":0},"citationItems":[{"id":62,"uris":["http://zotero.org/users/11989680/items/YXJXCGG4"],"itemData":{"id":62,"type":"webpage","title":"Iron deficiency in infants and children &lt;12 years: Treatment - UpToDate","URL":"https://www.uptodate.com/contents/iron-deficiency-in-infants-and-children-less-than12-years-treatment?search=irondeficiency-in-infants-and-children-less-than12-years-treatment&amp;source=search_result&amp;selectedTitle=1~150&amp;usage_type=default&amp;display_rank=1","accessed":{"date-parts":[["2022",11,28]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34</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Una inquietud relacionada con la suplementación de hierro es que el hierro ferroso en forma libre podría aumentar el estrés oxidativo debido a la generación de radicales libres. Por lo tanto, es esencial abordar no solo la deficiencia de hierro, sino también evitar una sobrecarga de hierro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{"citationID":"W1xLA5mw","properties":{"formattedCitation":"\\super 22\\nosupersub{}","plainCitation":"22","noteIndex":0},"citationItems":[{"id":16,"uris":["http://zotero.org/users/11989680/items/4Q79SXBB"],"itemData":{"id":16,"type":"article-journal","abstract":"La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color w:val="000000" w:themeColor="text1"/>
          <w14:textFill>
            <w14:solidFill>
              <w14:schemeClr w14:val="tx1"/>
            </w14:solidFill>
          </w14:textFill>
        </w:rPr>
        <w:t xml:space="preserve"> </w:t>
      </w:r>
      <w:r>
        <w:rPr>
          <w:rFonts w:ascii="Times New Roman" w:hAnsi="Times New Roman" w:eastAsia="Arial" w:cs="Times New Roman"/>
          <w:color w:val="000000" w:themeColor="text1"/>
          <w:lang w:val="es-MX"/>
          <w14:textFill>
            <w14:solidFill>
              <w14:schemeClr w14:val="tx1"/>
            </w14:solidFill>
          </w14:textFill>
        </w:rPr>
        <w:t>Diversos estudios realizados en madres gestantes de países desarrollados muestran ingestas y niveles séricos deficitarios en micronutrientes, estando recomendada en esta situación la suplementación nutricional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{"citationID":"nbXnUGVo","properties":{"formattedCitation":"\\super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Se estima que más del 40% de las mujeres embarazadas sufren anemia ferropénica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{"citationID":"ykposxLE","properties":{"formattedCitation":"\\super 20\\nosupersub{}","plainCitation":"20","noteIndex":0},"citationItems":[{"id":39,"uris":["http://zotero.org/users/11989680/items/84F6KYRW"],"itemData":{"id":39,"type":"article-journal","abstract":"The objective of this study was to assess the change in the prevalence of anemia among under-five children attending public health services in Peru between 2012 and 2016, according to their place of residence, and to identify spatial clusters of districts with a high prevalence of anemia. An analytical cross-sectional study was carried out, based on data from the Nutritional State Information System from 2012 and 2016. We calculated the spatial autocorrelation of anemia prevalence at the district level using a global and local Moran's I index. The prevalence of anemia was 34.4% (2012) and 40.3% (2016). In 2012 and 2016, 41.7% and 46.5% of districts, respectively, had a prevalence of anemia considered a severe public health problem acording WHO criteria. Positive spatial autocorrelation was found between the prevalence of anemia and the districts for both years (2012 Moran's I: 0.22; 2016: 0.31, both p &lt;0.001). Of the total number of districts, 8.3% (2012) and 12.6% (2016) presented a high prevalence of anemia and were also surrounded by districts with high prevalence. Anemia is a public health problem among children under five in Peru attending public health services and we identified areas with a higher concentration of anemia prevalence. Spatial patterns of anemia should be considered in the development and implementation of health interventions.Keywords: Anemia; Children; Geographic Information Systems; Peru; Preschool; Spatial Analysis (Source: MeSH)","container-title":"Revista chilena de nutrición","DOI":"10.4067/S0717-75182019000600718","ISSN":"0717-7518","issue":"6","note":"publisher: Sociedad Chilena de Nutrición, Bromatología y Toxicología","page":"718-726","source":"SciELO","title":"¿Es la anemia un problema de salud pública entre los menores de cinco años en el Perú? Análisis de una base de datos administrativa nacional de salud (2012 y 2016) empleando Sistemas de Información Geográfica","title-short":"¿Es la anemia un problema de salud pública entre los menores de cinco años en el Perú?","volume":"46","author":[{"family":"Hernández-Vásquez","given":"Akram"},{"family":"Peñares-Peñaloza","given":"Margot"},{"family":"Rebatta-Acuña","given":"Alexis"},{"family":"Carrasco-Farfan","given":"Carlos"},{"family":"Bordón-Luján","given":"Camila"},{"family":"Santero","given":"Marilina"},{"family":"Bendezu-Quispe","given":"Guido"},{"family":"Hernández-Vásquez","given":"Akram"},{"family":"Peñares-Peñaloza","given":"Margot"},{"family":"Rebatta-Acuña","given":"Alexis"},{"family":"Carrasco-Farfan","given":"Carlos"},{"family":"Bordón-Luján","given":"Camila"},{"family":"Santero","given":"Marilina"},{"family":"Bendezu-Quispe","given":"Guido"}],"issued":{"date-parts":[["2019",12]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20</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deficiencia de hierro durante la gestación se ha relacionado con prematuridad, BPN, menor desarrollo físico y neurológico de los recién nacidos, enfermedades infecciosas y aumento de la mortalidad perinatal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{"citationID":"mleahGUd","properties":{"formattedCitation":"\\super 23\\nosupersub{}","plainCitation":"23","noteIndex":0},"citationItems":[{"id":51,"uris":["http://zotero.org/users/11989680/items/8JVXC2HL"],"itemData":{"id":51,"type":"article-journal","abstract":"Introduction: Iron deficiency anemia is considered a serious public health problem in Peru, in addition to the fact that there are various factors that have been studied and various national strategies and plans have been developed on them to intervene and reduce this high prevalence that continues to be permanent over time We must consider the association of other maternal and child factors potentially involved in the development of this disease.\nObjective: To determine the maternal and child factors associated with anemia in infants from 6 to 36 months in Peru during the year 2019. Materials and methods: An observational, analytical and retrospective study was carried out by analyzing the Demographic and Family Health Survey for the period 2019. Prevalence ratios (PR) were used. SPSS v25 and STATA were used for the statistical analysis, considering a 95% CI.\nResults: The risk factors associated with anemia were: living in the sierra region (PR: 1.39 IC 1.24-1.55 p &lt;0.000), living in the jungle region (PR: 1.23 IC 1.10291.37 p &lt;0.000), presenting diarrhea ( PR: 1.16 CI 1.09-1.25 p &lt;0.000), and being poor (PR: 1.29 CI1.20-1.38 p &lt;0.000).\nConclusion: The prevalence of anemia found was high. Live in the regions of the sierra and jungle; Being poor and having had diarrhea and fever in the last two weeks were significantly associated with anemia in Peruvian children under 36 months.","language":"es","page":"77","source":"Zotero","title":"FACTORES MATERNO-INFANTILES ASOCIADOS A ANEMIA FERROPÉNICA EN INFANTES DE 6 A 36 MESES EN PERÚ DURANTE EL AÑO 2019","author":[{"family":"Larrea Gandhi","given":"Ezquerra Huaman","suffix":"Carlos"}]}}],"schema":"https://github.com/citation-style-language/schema/raw/master/csl-citation.json"}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Además, un exceso de hierro en el cuerpo, caracterizado por niveles elevados de hemoglobina (Hb &gt; 13,5 g/L), ha sido asociado con diversos problemas, como aumento de la viscosidad sanguínea, reducción en la perfusión de la placenta, restricción del crecimiento intrauterino (CIR), parto prematuro y posibles complicaciones neurológicas y esqueléticas en el feto además de preeclampsia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{"citationID":"A6llvygJ","properties":{"formattedCitation":"\\super 20\\nosupersub{}","plainCitation":"20","noteIndex":0},"citationItems":[{"id":39,"uris":["http://zotero.org/users/11989680/items/84F6KYRW"],"itemData":{"id":39,"type":"article-journal","abstract":"The objective of this study was to assess the change in the prevalence of anemia among under-five children attending public health services in Peru between 2012 and 2016, according to their place of residence, and to identify spatial clusters of districts with a high prevalence of anemia. An analytical cross-sectional study was carried out, based on data from the Nutritional State Information System from 2012 and 2016. We calculated the spatial autocorrelation of anemia prevalence at the district level using a global and local Moran's I index. The prevalence of anemia was 34.4% (2012) and 40.3% (2016). In 2012 and 2016, 41.7% and 46.5% of districts, respectively, had a prevalence of anemia considered a severe public health problem acording WHO criteria. Positive spatial autocorrelation was found between the prevalence of anemia and the districts for both years (2012 Moran's I: 0.22; 2016: 0.31, both p &lt;0.001). Of the total number of districts, 8.3% (2012) and 12.6% (2016) presented a high prevalence of anemia and were also surrounded by districts with high prevalence. Anemia is a public health problem among children under five in Peru attending public health services and we identified areas with a higher concentration of anemia prevalence. Spatial patterns of anemia should be considered in the development and implementation of health interventions.Keywords: Anemia; Children; Geographic Information Systems; Peru; Preschool; Spatial Analysis (Source: MeSH)","container-title":"Revista chilena de nutrición","DOI":"10.4067/S0717-75182019000600718","ISSN":"0717-7518","issue":"6","note":"publisher: Sociedad Chilena de Nutrición, Bromatología y Toxicología","page":"718-726","source":"SciELO","title":"¿Es la anemia un problema de salud pública entre los menores de cinco años en el Perú? Análisis de una base de datos administrativa nacional de salud (2012 y 2016) empleando Sistemas de Información Geográfica","title-short":"¿Es la anemia un problema de salud pública entre los menores de cinco años en el Perú?","volume":"46","author":[{"family":"Hernández-Vásquez","given":"Akram"},{"family":"Peñares-Peñaloza","given":"Margot"},{"family":"Rebatta-Acuña","given":"Alexis"},{"family":"Carrasco-Farfan","given":"Carlos"},{"family":"Bordón-Luján","given":"Camila"},{"family":"Santero","given":"Marilina"},{"family":"Bendezu-Quispe","given":"Guido"},{"family":"Hernández-Vásquez","given":"Akram"},{"family":"Peñares-Peñaloza","given":"Margot"},{"family":"Rebatta-Acuña","given":"Alexis"},{"family":"Carrasco-Farfan","given":"Carlos"},{"family":"Bordón-Luján","given":"Camila"},{"family":"Santero","given":"Marilina"},{"family":"Bendezu-Quispe","given":"Guido"}],"issued":{"date-parts":[["2019",12]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20</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Concluyendo, tanto la deficiencia como el exceso tienen efectos negativos en el resultado del embarazo.</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Los efectos beneficiosos de la suplementación con hierro en madres gestantes con anemia ferropénica están bien documentados. Sin embargo, existe un mayor riesgo para la salud tanto de la madre como del feto al proporcionar suplementos de hierro a mujeres embarazadas que no padecen anemia. Esta práctica rutinaria puede dar lugar a problemas gastrointestinales que reducen la adherencia al tratamiento, aumenta el estrés oxidativo y la producción de radicales libres. Por lo tanto, se sugiere evitar la suplementación con hierro de manera automática en mujeres embarazadas que no presentan anemia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{"citationID":"dh20M7hs","properties":{"formattedCitation":"\\super 35\\nosupersub{}","plainCitation":"35","noteIndex":0},"citationItems":[{"id":64,"uris":["http://zotero.org/users/11989680/items/WXGYVDDU"],"itemData":{"id":64,"type":"article-journal","abstract":"Pregnancy is a challenge from the nutritional point of view, because nutrient requirements are increased and alter its intake can affect maternal and fetal health. Micronutrient deficiency states are related to preeclampsia, intrauterine growth restriction, abortion and congenital anomalies. Currently, the diet of many expectant mothers is insufficient in micronutrients, in this cases supplementation is necessary. It is recommended supplementation with folic acid in doses of 400 mcg/day and 5 mg/day in risk pregnant, and should begin at least one month before conception and during the first 12 weeks gestation, and extend it throughout pregnancy in mothers with nutritional risk. It is important to keep watch the proper dose of folic acid to prevent possible adverse effects of unmetabolized accumulation in plasma. A high percentage of pregnant women presented iron deficiency anemia, being recommended intermittent use of iron supplements (with lower gastrointestinal alteration and oxidative stress); not recommended for mothers without anemia (hemoglobin&gt; 13.5 g / L). Since calcium absorption is increased up to 40% in gestation, its supplementation is not recommended for mothers with adequate intakes (3 dairy / day), and its use must be reserved to women with inadequate intakes and/or high risk of preeclampsia. Regarding the iodine, there are conflicting positions by different working groups established potassium iodide supplementation in women who do not reach their recommended intake (3 servings of milk and dairy products + 2 g of iodized salt), with their diets. Given that vitamin A and D can be toxic to mother and fetus, it is not recommended its supplementation except in cases of deficiency. Although the use of multiple micronutrients supplements may favorably impact the outcome of pregnancy, more scientific evidence is needed to establish the replacement of iron and folic acid with a multiple micronutrient supplement.","container-title":"Nutrición Hospitalaria","DOI":"10.20960/nh.336","journalAbbreviation":"Nutrición Hospitalaria","source":"ResearchGate","title":"Suplementos en gestación: últimas recomendaciones","title-short":"Suplementos en gestación","volume":"33","author":[{"family":"García","given":"Rosa"}],"issued":{"date-parts":[["2016",7,12]]}}}],"schema":"https://github.com/citation-style-language/schema/raw/master/csl-citation.json"}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Diversos autores muestran que la suplementación intermitente tiene efectos similares a la administración diaria (en peso al nacer, parto prematuro, muerte perinatal y anemia)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{"citationID":"vDRCibSA","properties":{"formattedCitation":"\\super 24\\nosupersub{}","plainCitation":"24","noteIndex":0},"citationItems":[{"id":88,"uris":["http://zotero.org/users/11989680/items/UYWY7RG3"],"itemData":{"id":88,"type":"article-journal","abstract":"En el contexto del derecho a la vida –y particularmente a la vida de los niños y su bienestar integral- la legislación nacional e internacional consagran este derecho. Al ser la anemia uno de los factores que más influye tanto en la morbilidad infantil, así como en el desarrollo de sus facultades, es indispensable validar estrategias conducentes a su disminución/eliminación. La investigación se sustentó en el marco conceptual del Plan Nacional para la Reducción y Control de la Anemia Materno Infantil en el Perú, 2017-2021. En este sentido y a partir de la opinión de expertos, médicos, nutricionistas, madres líderes, entre otros, la propuesta fue demostrar el alcance de una intervención educativa que permitiera la reducción de la anemia en niños entre 6 y menos de 36 meses de edad entre octubre 2018 y febrero 2019 en el asentamiento humano Flor de Amancaes. Se concluye que el control y efecto de la anemia en áreas urbano marginales en el Perú dependerá del nivel de educación, de la capacitación con acompañamiento de los padres de familia y del compromiso legal del Estado en velar por el derecho a la vida a través del cuidado nutricional de nuestros niños.DOIhttps://doi.org/10.24265/voxjuris.2019.v37n2.10","container-title":"Vox Juris","DOI":"https://doi.org/10.24265/voxjuris.2019.v37n2.10","ISSN":"2521-5280","issue":"2","language":"es","license":"Copyright (c) 2019 Ivan Hidalgo Romero","note":"number: 2","page":"143-154","source":"www.aulavirtualusmp.pe","title":"Relevancia de la intervención educativa como factor preventivo de la anemia en niños entre 6 y 36 meses: el caso del área urbano marginal de flor de amancaes, lima, perú","title-short":"Relevancia de la intervención educativa como factor preventivo de la anemia en niños entre 6 y 36 meses","volume":"37","author":[{"family":"Romero","given":"Ivan Hidalgo"}],"issued":{"date-parts":[["2019",7,11]]}}}],"schema":"https://github.com/citation-style-language/schema/raw/master/csl-citation.json"}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24</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menos efectos secundarios (estreñimiento, náuseas, entre otros) y menor riesgo de concentraciones altas de hemoglobina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{"citationID":"nmQvKq4w","properties":{"formattedCitation":"\\super 35\\nosupersub{}","plainCitation":"35","noteIndex":0},"citationItems":[{"id":64,"uris":["http://zotero.org/users/11989680/items/WXGYVDDU"],"itemData":{"id":64,"type":"article-journal","abstract":"Pregnancy is a challenge from the nutritional point of view, because nutrient requirements are increased and alter its intake can affect maternal and fetal health. Micronutrient deficiency states are related to preeclampsia, intrauterine growth restriction, abortion and congenital anomalies. Currently, the diet of many expectant mothers is insufficient in micronutrients, in this cases supplementation is necessary. It is recommended supplementation with folic acid in doses of 400 mcg/day and 5 mg/day in risk pregnant, and should begin at least one month before conception and during the first 12 weeks gestation, and extend it throughout pregnancy in mothers with nutritional risk. It is important to keep watch the proper dose of folic acid to prevent possible adverse effects of unmetabolized accumulation in plasma. A high percentage of pregnant women presented iron deficiency anemia, being recommended intermittent use of iron supplements (with lower gastrointestinal alteration and oxidative stress); not recommended for mothers without anemia (hemoglobin&gt; 13.5 g / L). Since calcium absorption is increased up to 40% in gestation, its supplementation is not recommended for mothers with adequate intakes (3 dairy / day), and its use must be reserved to women with inadequate intakes and/or high risk of preeclampsia. Regarding the iodine, there are conflicting positions by different working groups established potassium iodide supplementation in women who do not reach their recommended intake (3 servings of milk and dairy products + 2 g of iodized salt), with their diets. Given that vitamin A and D can be toxic to mother and fetus, it is not recommended its supplementation except in cases of deficiency. Although the use of multiple micronutrients supplements may favorably impact the outcome of pregnancy, more scientific evidence is needed to establish the replacement of iron and folic acid with a multiple micronutrient supplement.","container-title":"Nutrición Hospitalaria","DOI":"10.20960/nh.336","journalAbbreviation":"Nutrición Hospitalaria","source":"ResearchGate","title":"Suplementos en gestación: últimas recomendaciones","title-short":"Suplementos en gestación","volume":"33","author":[{"family":"García","given":"Rosa"}],"issued":{"date-parts":[["2016",7,12]]}}}],"schema":"https://github.com/citation-style-language/schema/raw/master/csl-citation.json"}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i/>
          <w:iCs/>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w:t>
      </w:r>
      <w:r>
        <w:rPr>
          <w:rFonts w:ascii="Times New Roman" w:hAnsi="Times New Roman" w:eastAsia="Arial" w:cs="Times New Roman"/>
          <w:b/>
          <w:bCs/>
          <w:color w:val="000000" w:themeColor="text1"/>
          <w:lang w:val="es-MX"/>
          <w14:textFill>
            <w14:solidFill>
              <w14:schemeClr w14:val="tx1"/>
            </w14:solidFill>
          </w14:textFill>
        </w:rPr>
        <w:t xml:space="preserve"> </w:t>
      </w:r>
      <w:r>
        <w:rPr>
          <w:rFonts w:ascii="Times New Roman" w:hAnsi="Times New Roman" w:eastAsia="Arial" w:cs="Times New Roman"/>
          <w:b/>
          <w:bCs/>
          <w:i/>
          <w:iCs/>
          <w:color w:val="000000" w:themeColor="text1"/>
          <w:lang w:val="es-MX"/>
          <w14:textFill>
            <w14:solidFill>
              <w14:schemeClr w14:val="tx1"/>
            </w14:solidFill>
          </w14:textFill>
        </w:rPr>
        <w:t>Defecto en la absorción de hierro</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absorción de hierro en el organismo está influenciada por el equilibrio entre la cantidad de hierro ingerida, la composición y el tipo de hierro en la dieta, así como la regulación de la absorción por parte de la mucosa intestinal, preferiblemente en el duodeno y la parte superior del yeyuno. Este proceso de regulación y absorción es esencial para mantener niveles adecuados de hierro en el cuerpo y prevenir la deficiencia de hierro.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{"citationID":"trKBwDKe","properties":{"formattedCitation":"\\super 22\\nosupersub{}","plainCitation":"22","noteIndex":0},"citationItems":[{"id":16,"uris":["http://zotero.org/users/11989680/items/4Q79SXBB"],"itemData":{"id":16,"type":"article-journal","abstract":"La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La biodisponibilidad del hierro depende en gran medida de su estado químico en el que se encuentra, ya sea como hemo (en forma de hierro ferroso) o como no-hemo (en forma de hierro férrico). Además, esta biodisponibilidad se ve influenciada por la interacción del hierro con otros componentes de la dieta. Algunos de estos componentes facilitan la absorción del hierro, como el ácido ascórbico (vitamina C), el ácido cítrico, el ácido láctico y el factor cárneo. Por otro lado, existen componentes que inhiben la absorción del hierro, como los fosfatos, los fitatos, el calcio, las fibras, los oxalatos, los tanatos y los polifenoles. La presencia o ausencia de estos facilitadores e inhibidores puede tener un impacto significativo en la cantidad de hierro que el cuerpo puede absorber de la dieta.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{"citationID":"CnpQhW7e","properties":{"formattedCitation":"\\super 33\\nosupersub{}","plainCitation":"33","noteIndex":0},"citationItems":[{"id":124,"uris":["http://zotero.org/users/11989680/items/ZEY4P3JX"],"itemData":{"id":124,"type":"webpage","title":"Prevención y cribado de la ferropenia en lactantes","URL":"https://scielo.isciii.es/scielo.php?script=sci_arttext&amp;pid=S1139-76322012000100013","accessed":{"date-parts":[["2023",7,15]]}}}],"schema":"https://github.com/citation-style-language/schema/raw/master/csl-citation.json"}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El hierro hemo, que se encuentra en los alimentos de origen animal, es el de mejor biodisponibilidad, pues es absorbido por la mucosa intestinal sin modificarse y sin interrelacionarse con otros componentes de la dieta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{"citationID":"vc62EUcn","properties":{"formattedCitation":"\\super 23\\nosupersub{}","plainCitation":"23","noteIndex":0},"citationItems":[{"id":51,"uris":["http://zotero.org/users/11989680/items/8JVXC2HL"],"itemData":{"id":51,"type":"article-journal","abstract":"Introduction: Iron deficiency anemia is considered a serious public health problem in Peru, in addition to the fact that there are various factors that have been studied and various national strategies and plans have been developed on them to intervene and reduce this high prevalence that continues to be permanent over time We must consider the association of other maternal and child factors potentially involved in the development of this disease.\nObjective: To determine the maternal and child factors associated with anemia in infants from 6 to 36 months in Peru during the year 2019. Materials and methods: An observational, analytical and retrospective study was carried out by analyzing the Demographic and Family Health Survey for the period 2019. Prevalence ratios (PR) were used. SPSS v25 and STATA were used for the statistical analysis, considering a 95% CI.\nResults: The risk factors associated with anemia were: living in the sierra region (PR: 1.39 IC 1.24-1.55 p &lt;0.000), living in the jungle region (PR: 1.23 IC 1.10291.37 p &lt;0.000), presenting diarrhea ( PR: 1.16 CI 1.09-1.25 p &lt;0.000), and being poor (PR: 1.29 CI1.20-1.38 p &lt;0.000).\nConclusion: The prevalence of anemia found was high. Live in the regions of the sierra and jungle; Being poor and having had diarrhea and fever in the last two weeks were significantly associated with anemia in Peruvian children under 36 months.","language":"es","page":"77","source":"Zotero","title":"FACTORES MATERNO-INFANTILES ASOCIADOS A ANEMIA FERROPÉNICA EN INFANTES DE 6 A 36 MESES EN PERÚ DURANTE EL AÑO 2019","author":[{"family":"Larrea Gandhi","given":"Ezquerra Huaman","suffix":"Carlos"}]}}],"schema":"https://github.com/citation-style-language/schema/raw/master/csl-citation.json"}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El otro hierro no hemo se encuentra en los cereales, leguminosas, leche, huevo, etc</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{"citationID":"pKhjVkIF","properties":{"formattedCitation":"\\super 21\\nosupersub{}","plainCitation":"21","noteIndex":0},"citationItems":[{"id":42,"uris":["http://zotero.org/users/11989680/items/GVPAIAJ9"],"itemData":{"id":42,"type":"article-journal","abstract":"OBJETIVO: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y este tiene que ser reducido al estado ferroso para ser absorbido.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Los alimentos que más hierro aportan son los de origen animal. En las leches, su contenido y biodisponibilidad varía enormemente; la leche materna, con el menor contenido de hierro, presenta la máxima absorción</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{"citationID":"hKDF50Lb","properties":{"formattedCitation":"\\super 13\\nosupersub{}","plainCitation":"13","noteIndex":0},"citationItems":[{"id":21,"uris":["http://zotero.org/users/11989680/items/UTH8LHSQ"],"itemData":{"id":21,"type":"article-journal","abstract":"OBJECTIVE: To assess associations between breastfeeding and iron status at 9 months of age in 2 samples of Chinese infants.\nSTUDY DESIGN: Associations between feeding at 9 months of age (breastfed as sole milk source, mixed fed, or formula fed) and iron deficiency anemia (IDA), iron deficiency, and iron sufficiency were determined in infants from Zhejiang (n = 142) and Hebei (n= 813) provinces. Iron deficiency was defined as body iron &lt; 0 mg/kg, and IDA as iron deficiency + hemoglobin &lt; 110 g/L. Multiple logistic regression assessed associations between feeding pattern and iron status.\nRESULTS: Breastfeeding was associated with iron status (P &lt; .001). In Zhejiang, 27.5% of breastfed infants had IDA compared with 0% of formula-fed infants. The odds of iron deficiency/IDA were increased in breastfed and mixed-fed infants compared with formula-fed infants: breastfed vs formula-fed OR, 28.8 (95% CI, 3.7-226.4) and mixed-fed vs formula-fed OR, 11.0 (95% CI, 1.2-103.2). In Hebei, 44.0% of breastfed infants had IDA compared with 2.8% of formula-fed infants. With covariable adjustment, odds of IDA were increased in breastfed and mixed-fed groups: breastfed vs formula-fed OR, 78.8 (95% CI, 27.2-228.1) and mixed-fed vs formula-fed OR, 21.0 (95% CI, 7.3-60.9).\nCONCLUSIONS: In both cohorts, the odds of iron deficiency/IDA at 9 months of age were increased in breastfed and mixed-fed infants, and iron deficiency/IDA was common. Although the benefits of breastfeeding are indisputable, these findings add to the evidence that breastfeeding in later infancy identifies infants at risk for iron deficiency/IDA in many settings. Protocols for detecting and preventing iron deficiency/IDA in breastfed infants are needed.\nTRIAL REGISTRATION: ClinicalTrials.gov: NCT00642863 and NCT00613717.","container-title":"The Journal of Pediatrics","DOI":"10.1016/j.jpeds.2016.10.041","ISSN":"1097-6833","journalAbbreviation":"J Pediatr","language":"eng","note":"PMID: 27836288\nPMCID: PMC5274569","page":"56-61","source":"PubMed","title":"Breastfeeding, Mixed, or Formula Feeding at 9 Months of Age and the Prevalence of Iron Deficiency and Iron Deficiency Anemia in Two Cohorts of Infants in China","volume":"181","author":[{"family":"Clark","given":"Katy M."},{"family":"Li","given":"Ming"},{"family":"Zhu","given":"Bingquan"},{"family":"Liang","given":"Furong"},{"family":"Shao","given":"Jie"},{"family":"Zhang","given":"Yueyang"},{"family":"Ji","given":"Chai"},{"family":"Zhao","given":"Zhengyan"},{"family":"Kaciroti","given":"Niko"},{"family":"Lozoff","given":"Betsy"}],"issued":{"date-parts":[["2017",2]]}}}],"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13</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Los niños alimentados a pecho o con fórmulas tienen cubierto su requerimiento diario mínimo, no así los alimentados con leche de vaca que presenta baja biodisponibilidad</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{"citationID":"OUDZvYRg","properties":{"formattedCitation":"\\super 26\\nosupersub{}","plainCitation":"26","noteIndex":0},"citationItems":[{"id":1,"uris":["http://zotero.org/users/11989680/items/C7DMSMVD"],"itemData":{"id":1,"type":"article-journal","abstract":"Objetivo: Determinar los factores de riesgo asociados a la anemia  an le nia en niños menores de 5 años del Hospital II EsSalud Tarapoto. Agosto – Diciembre 2019. \nLos materiales y métodos: Se realizó un estudio analítico, retrospectivo, observacional de casos y controles, con una muestra de 54 niños menores de 5 años con anemia  an le nia para casos y 54 niños menores de 5 años para controles. \nLos resultados: El nivel de anemia ferropenia que predomina según valor de hemoglobina es anemia leve  con 64,8 % (n=35). Los factores asociados a anemia ferropenia son la edad del niño mayor de 12 meses (p &lt; 0,001) OR 6,236; con IC 95 % (2,138  a 18,191), ocupación que desempeña la madre fuera del Hogar (p 0,002) OR 1,630; con IC 95 % (0,513 a 0,773).  Antecedentes de Anemia materna (p 0,039) OR 2,556; con IC 95 % (1,438 a 1,705). Antecedentes de EDA (p 0,004) OR 3,455; con IC 95 % (1,556 a 7,668). Antecedentes de IRA (p 0,003) OR 18,000; con IC 95 % (4,560 a 1,050).  \nConclusión: Los factores de riesgo sociodemográficos (edad mayor de 12 meses, ocupación que desempeña la madre fuera del Hogar) y patológicos (Antecedentes de Anemia materna,  EDA, IRA) se asociaron de manera significativa con la anemia ferropénica en los niños en estudio.","container-title":"Universidad Nacional de San Martín - Tarapoto","language":"spa","license":"info:eu-repo/semantics/openAccess","note":"Accepted: 2020-03-10T19:44:26Z\npublisher: Universidad Nacional de San Martín - Tarapoto","source":"repositorio.unsm.edu.pe","title":"Factores de riesgo asociados a la anemia ferropénica en niños menores de 5 años del Hospital II EsSalud Tarapoto. Agosto – diciembre 2019","URL":"http://repositorio.unsm.edu.pe/handle/11458/3687","author":[{"family":"Bartra Rios","given":"Johan Luigi"}],"accessed":{"date-parts":[["2021",10,18]]},"issued":{"date-parts":[["2020"]]}}}],"schema":"https://github.com/citation-style-language/schema/raw/master/csl-citation.json"}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La absorción de hierro en la mucosa intestinal está, de hecho, regulada por la cantidad de hierro presente en el cuerpo y la velocidad de producción de eritrocitos (eritropoyesis). De esta manera, el intestino es capaz de ajustar la cantidad de hierro que absorbe de acuerdo con las necesidades y demandas del organismo en un momento determinado.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{"citationID":"y7b9pLPA","properties":{"formattedCitation":"\\super 22\\nosupersub{}","plainCitation":"22","noteIndex":0},"citationItems":[{"id":16,"uris":["http://zotero.org/users/11989680/items/4Q79SXBB"],"itemData":{"id":16,"type":"article-journal","abstract":"La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22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Como se puede observar, en ciertas etapas de la vida, existe un desequilibrio en el suministro de hierro, lo que lleva al organismo a utilizar sus reservas de hierro para mantener una producción de glóbulos rojos adecuada. Durante estos periodos, una dieta que carece de la cantidad adecuada de hierro o que presenta una baja biodisponibilidad de hierro puede aumentar el riesgo de desarrollar una deficiencia de hierro o anemia ferropénica.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{"citationID":"y62RdCHJ","properties":{"formattedCitation":"\\super 17\\nosupersub{}","plainCitation":"17","noteIndex":0},"citationItems":[{"id":106,"uris":["http://zotero.org/users/11989680/items/3D6PHLTH"],"itemData":{"id":106,"type":"article-journal","abstract":"We looked at existing recommendations and supporting evidence on the effectiveness of universal screening of iron deficiency anaemia (IDA) in children under five years of age for improving growth, cognitive function, and psychomotor development. We assessed the accuracy of the screening tests for detecting IDA, the efficacy of existing treatment for children with IDA, and the potential harms associated with screening and treatment., We conducted a literature search up to the 18th of August 2019 by using key terms and manual search in selected sources. We summarized the recommendations and the strength of the recommendation when and as reported by the authors. We summarized the main findings of systematic reviews with the certainty of the evidence as reported., There is no suitable test for IDA screening that is non-invasive with high accuracy for detecting IDA and there is uncertainty whether IDA in children causes cognitive and psychomotor delays. There is a lack of evidence on the effects of routine screening for IDA in asymptomatic children under five years of age on growth, cognitive and psychomotor development outcomes., Universal screening of IDA in children under five years of age is not recommended by most organisations such as the Spanish Association of Primary Care Paediatrics, the United Kingdom National Screening Committee, and the United States Preventive Services Task Force, but is recommended by the American Academy of Paediatrics. However, selective screening of IDA is recommended in infants and children with risk factors including prematurity, low birth weight, and dietary risk factors.","container-title":"BMC Pediatrics","DOI":"10.1186/s12887-021-02725-w","ISSN":"1471-2431","issue":"Suppl 1","journalAbbreviation":"BMC Pediatr","note":"PMID: 34496786\nPMCID: PMC8424788","page":"337","source":"PubMed Central","title":"Screening of iron deficiency anaemia in early childhood","volume":"21","author":[{"family":"Jullien","given":"Sophie"}],"issued":{"date-parts":[["2021",9,8]]}}}],"schema":"https://github.com/citation-style-language/schema/raw/master/csl-citation.json"}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la infancia las causas principales de defectos de absorción de hierro son el vómito, la enfermedad diarreica aguda, síndromes de absorción intestinal deficiente, resecciones extensas de intestino y el excesivo consumo de fosfatos y filatos en la dieta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{"citationID":"WLLqqZ8g","properties":{"formattedCitation":"\\super 7,22\\nosupersub{}","plainCitation":"7,22","noteIndex":0},"citationItems":[{"id":46,"uris":["http://zotero.org/users/11989680/items/GHHNZ2BM"],"itemData":{"id":46,"type":"article-journal","abstract":"Iron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7,22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el contexto de las enfermedades infecciosas, especialmente el paludismo, las helmintiasis y otras infecciones como la tuberculosis y el VIH/SIDA, que son prevalentes en muchas áreas de Latinoamérica, estas enfermedades desempeñan un papel significativo en el aumento de la prevalencia de la anemia en diversas poblaciones.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{"citationID":"wOg3olZG","properties":{"formattedCitation":"\\super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 </w:t>
      </w:r>
      <w:r>
        <w:rPr>
          <w:rFonts w:ascii="Times New Roman" w:hAnsi="Times New Roman" w:eastAsia="Arial" w:cs="Times New Roman"/>
          <w:b/>
          <w:bCs/>
          <w:i/>
          <w:iCs/>
          <w:color w:val="000000" w:themeColor="text1"/>
          <w:lang w:val="es-MX"/>
          <w14:textFill>
            <w14:solidFill>
              <w14:schemeClr w14:val="tx1"/>
            </w14:solidFill>
          </w14:textFill>
        </w:rPr>
        <w:t>Pérdida sanguínea crónica</w:t>
      </w:r>
      <w:r>
        <w:rPr>
          <w:rFonts w:ascii="Times New Roman" w:hAnsi="Times New Roman" w:eastAsia="Arial" w:cs="Times New Roman"/>
          <w:b/>
          <w:bCs/>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 En el periodo neonatal la hemorragia fetomaterna, la transfusión feto-fetal en embarazos gemelares u otras hemorragias perinatales originan anemia y posterior ferropenia. Durante la infancia, después del segundo año de vida, las parasitosis intestinales como la giardiasis pueden originar sangrado intestinal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{"citationID":"47YSV5Md","properties":{"formattedCitation":"\\super 14,22\\nosupersub{}","plainCitation":"14,22","noteIndex":0},"citationItems":[{"id":16,"uris":["http://zotero.org/users/11989680/items/4Q79SXBB"],"itemData":{"id":16,"type":"article-journal","abstract":"La anemia en niños menores de tres años es un problema de salud pública en el Perú y el mundo. Se estima que la causa principal de la anemia, aunque no la única, es la deficiencia de hierro. Existen muchos estudios y revisiones sobre cómo esta carencia en los infantes impacta negativamente en el desarrollo psicomotor y, a pesar de corregirse la anemia, los niños con este antecedente presentan, a largo plazo, un menor desempeño en las áreas cognitiva, social y emocional. Estos hallazgos se describen en estudios observacionales, de seguimiento, así como en experimentales con grupo control. La anemia puede disminuir el desempeño escolar, y la productividad en la vida adulta, afectando la calidad de vida, y en general la economía de las personas afectadas. Se describen algunos posibles mecanismos de cómo la deficiencia de hierro, con o sin anemia, podría afectar el desarrollo en la infancia; por ello, causa preocupación la alta prevalencia de anemia que se observa en este grupo de edad. La prevención de la anemia en el primer año de vida debe ser la meta para evitar consecuencias en el desarrollo de la persona a largo plazo.","container-title":"Revista Peruana de Medicina Experimental y Salud Pública","DOI":"10.17843/rpmesp.2017.344.3346","ISSN":"1726-4642","language":"es","license":"Derechos de autor 2017 Revista Peruana de Medicina Experimental y Salud Pública","page":"716-22","source":"rpmesp.ins.gob.pe","title":"Efecto de la anemia en el desarrollo infantil: consecuencias a largo plazo","title-short":"Efecto de la anemia en el desarrollo infantil","author":[{"family":"Zavaleta","given":"Nelly"},{"family":"Astete-Robilliard","given":"Laura"}],"issued":{"date-parts":[["2017",12,26]]}}},{"id":110,"uris":["http://zotero.org/users/11989680/items/U4GWILEM"],"itemData":{"id":110,"type":"article-journal","language":"es","source":"Zotero","title":"Incidencia de parasitosis intestinal en escolares que residen en los bordos de San Pedro Sula, Cortés, Honduras","volume":"40","author":[{"family":"Galo","given":"Valle"},{"family":"Mejía","given":"Martínez"}],"issued":{"date-parts":[["2020"]]}}}],"schema":"https://github.com/citation-style-language/schema/raw/master/csl-citation.json"}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14,22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los países tropicales, infecciones como el Ancylostoma duodenale o el Trichuris trichiura son endémicas e infectan a millones de personas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{"citationID":"LD5SnOM4","properties":{"formattedCitation":"\\super 14,15\\nosupersub{}","plainCitation":"14,15","noteIndex":0},"citationItems":[{"id":110,"uris":["http://zotero.org/users/11989680/items/U4GWILEM"],"itemData":{"id":110,"type":"article-journal","language":"es","source":"Zotero","title":"Incidencia de parasitosis intestinal en escolares que residen en los bordos de San Pedro Sula, Cortés, Honduras","volume":"40","author":[{"family":"Galo","given":"Valle"},{"family":"Mejía","given":"Martínez"}],"issued":{"date-parts":[["2020"]]}}},{"id":27,"uris":["http://zotero.org/users/11989680/items/WCSNDEQF"],"itemData":{"id":27,"type":"article-journal","abstract":"OBJETIVO: Estimar a prevalência de anemia e identificar seus fatores associados em crianças de seis a 59 meses. MÉTODOS: Estudo transversal com dados da III Pesquisa Estadual de Saúde e Nutrição/Pernambuco em amostra representativa de 1.403 crianças para as áreas urbana e rural. A anemia foi diagnosticada pela dosagem da hemoglobina. A análise multivariada foi realizada a partir de um modelo hierárquico, utilizando a regressão de Poisson, com variância robusta para estimar a razão de prevalência em função de variáveis: biológicas, de morbidade e estado nutricional da criança, socioeconômicas, de habitação, de saneamento e fatores maternos. RESULTADOS: A prevalência ponderada de anemia foi de 32,8%: 31,5% na área urbana e 36,6% na rural. Na área urbana, as variáveis que se associaram significantemente à anemia foram: escolaridade materna, bens de consumo, número de crianças menores de cinco anos no domicílio, tratamento da água de beber, idade e anemia materna e idade da criança. Na área rural, apenas a idade materna e a idade da criança associaram-se de modo significante à anemia. CONCLUSÕES: A prevalência de anemia nas crianças pernambucanas é semelhante nas áreas urbana e rural. Os fatores associados à anemia apresentados devem ser considerados no planejamento de medidas efetivas para o seu controle.","container-title":"Revista de Saúde Pública","DOI":"10.1590/S0034-89102011000300003","ISSN":"0034-8910, 1518-8787","journalAbbreviation":"Rev. Saúde Pública","language":"es","note":"publisher: Faculdade de Saúde Pública da Universidade de São Paulo","page":"457-466","source":"SciELO","title":"Prevalencia de la anemia y factores asociados en niños de seis a 59 meses de Pernambuco, Noreste de Brasil","volume":"45","author":[{"family":"Leal","given":"Luciana Pedrosa"},{"family":"Batista Filho","given":"Malaquias"},{"family":"Lira","given":"Pedro Israel Cabral","dropping-particle":"de"},{"family":"Figueiroa","given":"José Natal"},{"family":"Osório","given":"Mônica Maria"}],"issued":{"date-parts":[["2011",6]]}}}],"schema":"https://github.com/citation-style-language/schema/raw/master/csl-citation.json"}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14,15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Si se detectan pérdidas gastrointestinales, es importante considerar la posibilidad de defectos anatómicos como el divertículo de Meckel, que es una persistencia del conducto onfalomesentérico, o malformaciones arteriovenosas, como las que se observan en la enfermedad de Rendu-Osler (telangiectasia hemorrágica hereditaria). Estos trastornos pueden ser causas subyacentes de las hemorragias gastrointestinales y deben ser evaluados y tratados adecuadamente en función de su gravedad y naturaleza.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{"citationID":"AIBQKj9y","properties":{"formattedCitation":"\\super 12\\nosupersub{}","plainCitation":"12","noteIndex":0},"citationItems":[{"id":24,"uris":["http://zotero.org/users/11989680/items/4WBL7FYT"],"itemData":{"id":24,"type":"article-journal","abstract":"OBJECTIVE: Anemia in infants is a common problem, with regular iron supplementation the suggested policy for prevention and control of anemia. The aim of this study was to determine the prevalence and the determining factors of anemia as well as the benefits of regular iron supplementation in 6- to 12-month-old children.\nDESIGN/SETTING/SUBJECTS: In this cross-sectional study, 897 children aged from 6 to 12 months cared for at the Tabas Health Centers, affiliated with Birjand University of Medical Sciences, South Khorasan, Iran, were enrolled in the study. Demographic and anthropometric data as well as the level of hemoglobin were collected through interviews and laboratory tests, respectively. Data analysis was performed using SPSS-22 and stata-13. Chi2, polychromic PCA, and logistic regression were used. The statistical significance level was 0.05.\nRESULT: The prevalence of anemia, according to the WHO criterion for hemoglobin, was 36.8% (95% CI, 33.6-40.0). Its prevalence showed a decreasing trend as age and duration of iron supplement increased. Each 1-month increase in infant age was associated with a decreased risk of anemia [OR=0.88 (95% CI, 0.80-0.98)]. Anemia was not significantly different between genders. Individuals in the highest category for parity (≥3) were at a 2.3-fold greater risk of anemia compared with the lowest category [OR=2.35 (95% CI, 1.43-3.84)]. In contrast, individuals in the highest category for maternal age (&gt;35 years) had a 62% lower risk of anemia compared with the reference category (&lt;25 years) [OR=0.38 (95% CI, 0.20-0.72)].\nCONCLUSION: Implementation of an iron supplementation plan in Iran has decreased anemia among 6- to 12-month-old children.","container-title":"Archives De Pediatrie: Organe Officiel De La Societe Francaise De Pediatrie","DOI":"10.1016/j.arcped.2019.08.007","ISSN":"1769-664X","issue":"6","journalAbbreviation":"Arch Pediatr","language":"eng","note":"PMID: 31521442","page":"347-351","source":"PubMed","title":"Prevalence and determinant factors of anemia in children aged 6-12 months after starting an iron supplement in the east of Iran","volume":"26","author":[{"family":"Riahi","given":"Seyed Mohammad"},{"family":"Mohammadi","given":"Maryam"},{"family":"Fakhri","given":"Yadolah"},{"family":"Pordanjani","given":"Sajjad Rahimi"},{"family":"Soleimani","given":"Farin"},{"family":"Saadati","given":"Hossein Mozafar"}],"issued":{"date-parts":[["2019",9]]}}}],"schema":"https://github.com/citation-style-language/schema/raw/master/csl-citation.json"}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Es cierto que la enfermedad de Rendu-Osler a menudo no se manifiesta hasta la edad adulta. Cuando no se encuentran trastornos anatómicos como causa de las pérdidas sanguíneas, es importante considerar la posibilidad de una coagulopatía. Esto podría incluir enfermedades como la enfermedad de Von Willebrand, hemofilia, púrpura trombocitopénica y otras causas menos frecuentes como el sangrado por tubo digestivo, hernia hiatal, varices esofágicas, divertículos, pólipos y angiomas. Es crucial realizar una evaluación exhaustiva para identificar la causa subyacente y brindar el tratamiento adecuado.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{"citationID":"YvyoL06Z","properties":{"formattedCitation":"\\super 5,32\\nosupersub{}","plainCitation":"5,32","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id":58,"uris":["http://zotero.org/users/11989680/items/NKAH73BE"],"itemData":{"id":58,"type":"article-journal","abstract":"The Eastern Mediterranean Regions and Europe and Central Asia Regions are facing an epidemiological and nutrition transition, especially among vulnerable groups including mothers, children and adolescents. This has led to a double burden of malnutrition (DBM). Poor infant and young child feeding (IYCF), poor dietary diversity, excessive consumption of energy dense unhealthy foods, a growing obesogenic environment for children, including aggressive marketing of unhealthy foods for children, and reduced physical activity are among the main causes. In addition, several countries in the region lack the nutrition governance capacity to respond effectively to the DBM. This article reviews the context and provides a set of conclusions in which countries are called to reduce the marketing of unhealthy foods for children, enforce the fortification of staple foods with micronutrients to reduce micronutrient deficiencies and improve IYCF, including breastfeeding in the region. Also, the call is strong for cross-border multi-sectoral efforts to address the DBM in these regions.","container-title":"Annals of Nutrition and Metabolism","DOI":"10.1159/000503673","ISSN":"0250-6807, 1421-9697","issue":"2","journalAbbreviation":"ANM","language":"english","note":"publisher: Karger Publishers\nPMID: 31743908","page":"135-138","source":"www.karger.com","title":"Regional Overview on Maternal and Child Nutrition and Examples of Nutrition Governance and Policy Responses: Europe, Central Asia and Eastern Mediterranean Regions","title-short":"Regional Overview on Maternal and Child Nutrition and Examples of Nutrition Governance and Policy Responses","volume":"75","author":[{"family":"Yarparvar","given":"Amirhossein"},{"family":"Jewell","given":"Jo Martin"},{"family":"Al-Jawaldeh","given":"Ayoub"}],"issued":{"date-parts":[["2019"]]}}}],"schema":"https://github.com/citation-style-language/schema/raw/master/csl-citation.json"}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5,32</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Diagnóstico</w:t>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Este es básicamente clínico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{"citationID":"wZNDmmzU","properties":{"formattedCitation":"\\super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Se deben evaluar síntomas y signos propios de la anemia como coloración de la piel, sequedad y caída del cabello, observar coloración de la mucosa sublingual y conjuntivas, identificar la coloración del lecho ungueal presionando las uñas de los dedos de las manos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{"citationID":"CwDw3Mey","properties":{"formattedCitation":"\\super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Las uñas pueden volverse quebradizas como un síntoma de deficiencia de hierro. En los niños, también es común observar pica, que se refiere a la tendencia a comer tierra o hielo. Además, pueden experimentar hiporexia, aumento del sueño, decaimiento y fatiga. Desde una perspectiva neurológica, la deficiencia de hierro puede causar alteraciones en el control del movimiento, así como perturbaciones en los ciclos de sueño y actividad. También puede afectar la memoria y el proceso de aprendizaje.</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{"citationID":"9KNfI57n","properties":{"formattedCitation":"\\super 36\\nosupersub{}","plainCitation":"36","noteIndex":0},"citationItems":[{"id":76,"uris":["http://zotero.org/users/11989680/items/KE9EGGT8"],"itemData":{"id":76,"type":"article-journal","abstract":"Resumen\n\t\t\t\t\tAunque la prevalencia de la anemia ha disminuido en las últimas décadas, la prevalencia de la anemia global se mantiene en alrededor del 30 % y se estima que contribuye a casi el 9 % de los años con discapacidad. Una mayor apreciación de las múltiples causas que interactúan con la anemia no se refleja en los programas gubernamentales para tratar la anemia. Estos se centran solo en la suplementación con hierro, lo que puede ser la base de su limitada eficacia. Se cuestiona la validez de los puntos de corte de hemoglobina (Hb) utilizados para definir la anemia, propuestos en 1969 por la OMS, en especial aquellos recomendados para su uso en poblaciones de gran altitud (GA), ya que estas generalmente muestran niveles más altos de Hb, como una adaptación para vivir en ella. El uso de este criterio puede aumentar de 5 a 6 veces la prevalencia de anemia, especialmente en poblaciones de más de 3000 metros. En Perú, la anemia es más común en las regiones de altura y en la selva, pero es probable que la etiología difiera debido a los diferentes patrones dietéticos, infecciosos y genéticos entre estas regiones. Existen evidencias de que el umbral de Hb para definir la anemia en niños no coincide con el umbral de 11 g/dL de Hb recomendado por la OMS. También se describe la evidencia de que la corrección de Hb sugerida por la altitud de residencia recomendada también por la OMS es innecesaria, lo que aumenta la prevalencia de anemia en poblaciones de GA. En conclusión, se debe redefinir el umbral de Hb de 11 g/dL utilizado para diagnosticar la anemia en niños menores de 60 meses. Además, como la deficiencia de hierro no es la única causa de anemia, se deben considerar otros biomarcadores para evaluar el contenido de hierro corporal, contribución inflamatoria, folato, vitamina B12 y deficiencia de vitamina A. De esta manera se puede diagnosticar con precisión la causa de la anemia y dar la intervención adecuada.","container-title":"Revista de la Sociedad Peruana de Medicina Interna","DOI":"10.36393/spmi.v31i3.24","ISSN":"1609-7173","issue":"3","language":"es","license":"Derechos de autor 2019 Gustavo F.   Gonzales, Paola  Olavegoya, Cinthya  Vásquez-Velásquez,, Dulce Esperanza  Alarcón-Yaquetto","note":"number: 3","page":"92-103","source":"www.revistamedicinainterna.net","title":"Anemia en niños menores de cinco años. ¿Estamos usando el criterio diagnóstico correcto?","volume":"31","author":[{"family":"Gonzales","given":"Gustavo F."},{"family":"Olavegoya","given":"Paola"},{"family":"Cinthya Vásquez-Velásquez","given":""},{"family":"Alarcón-Yaquetto","given":"Dulce Esperanza"}],"issued":{"date-parts":[["2018"]]}}}],"schema":"https://github.com/citation-style-language/schema/raw/master/csl-citation.json"}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Por otro lado, se debe de considerar algunos exámenes de laboratorio, tales como la medición de hemoglobina, hematocrito y ferritina sérica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{"citationID":"yObaq4tl","properties":{"formattedCitation":"\\super 5,36\\nosupersub{}","plainCitation":"5,36","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id":76,"uris":["http://zotero.org/users/11989680/items/KE9EGGT8"],"itemData":{"id":76,"type":"article-journal","abstract":"Resumen\n\t\t\t\t\tAunque la prevalencia de la anemia ha disminuido en las últimas décadas, la prevalencia de la anemia global se mantiene en alrededor del 30 % y se estima que contribuye a casi el 9 % de los años con discapacidad. Una mayor apreciación de las múltiples causas que interactúan con la anemia no se refleja en los programas gubernamentales para tratar la anemia. Estos se centran solo en la suplementación con hierro, lo que puede ser la base de su limitada eficacia. Se cuestiona la validez de los puntos de corte de hemoglobina (Hb) utilizados para definir la anemia, propuestos en 1969 por la OMS, en especial aquellos recomendados para su uso en poblaciones de gran altitud (GA), ya que estas generalmente muestran niveles más altos de Hb, como una adaptación para vivir en ella. El uso de este criterio puede aumentar de 5 a 6 veces la prevalencia de anemia, especialmente en poblaciones de más de 3000 metros. En Perú, la anemia es más común en las regiones de altura y en la selva, pero es probable que la etiología difiera debido a los diferentes patrones dietéticos, infecciosos y genéticos entre estas regiones. Existen evidencias de que el umbral de Hb para definir la anemia en niños no coincide con el umbral de 11 g/dL de Hb recomendado por la OMS. También se describe la evidencia de que la corrección de Hb sugerida por la altitud de residencia recomendada también por la OMS es innecesaria, lo que aumenta la prevalencia de anemia en poblaciones de GA. En conclusión, se debe redefinir el umbral de Hb de 11 g/dL utilizado para diagnosticar la anemia en niños menores de 60 meses. Además, como la deficiencia de hierro no es la única causa de anemia, se deben considerar otros biomarcadores para evaluar el contenido de hierro corporal, contribución inflamatoria, folato, vitamina B12 y deficiencia de vitamina A. De esta manera se puede diagnosticar con precisión la causa de la anemia y dar la intervención adecuada.","container-title":"Revista de la Sociedad Peruana de Medicina Interna","DOI":"10.36393/spmi.v31i3.24","ISSN":"1609-7173","issue":"3","language":"es","license":"Derechos de autor 2019 Gustavo F.   Gonzales, Paola  Olavegoya, Cinthya  Vásquez-Velásquez,, Dulce Esperanza  Alarcón-Yaquetto","note":"number: 3","page":"92-103","source":"www.revistamedicinainterna.net","title":"Anemia en niños menores de cinco años. ¿Estamos usando el criterio diagnóstico correcto?","volume":"31","author":[{"family":"Gonzales","given":"Gustavo F."},{"family":"Olavegoya","given":"Paola"},{"family":"Cinthya Vásquez-Velásquez","given":""},{"family":"Alarcón-Yaquetto","given":"Dulce Esperanza"}],"issued":{"date-parts":[["2018"]]}}}],"schema":"https://github.com/citation-style-language/schema/raw/master/csl-citation.json"}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5,36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Para identificar la anemia se necesita de la medición de la hemoglobina, clásicamente utilizando espectrofotómetro, hemoglobinómetro, contadores hematológicos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{"citationID":"tuZAxJns","properties":{"formattedCitation":"\\super 5,7\\nosupersub{}","plainCitation":"5,7","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Hallar el nivel a partir del hematocrito y considerar los niveles de hemoglobina de acuerdo a la edad y al sexo es fundamental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{"citationID":"3Rqnd6H5","properties":{"formattedCitation":"\\super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 No obstante, es importante señalar que la utilización de diversos exámenes auxiliares puede ser de gran utilidad, dependiendo de la disponibilidad o la capacidad de resolución del establecimiento de salud. Estos exámenes pueden incluir la evaluación de la morfología de los glóbulos rojos, el test de Thevenon y el examen parasitológico de heces. Cada uno de estos exámenes proporciona información valiosa que puede ayudar en el diagnóstico y la gestión de las condiciones relacionadas con la deficiencia de hierro y la anemia. </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{"citationID":"LsJELtKR","properties":{"formattedCitation":"\\super 36\\nosupersub{}","plainCitation":"36","noteIndex":0},"citationItems":[{"id":76,"uris":["http://zotero.org/users/11989680/items/KE9EGGT8"],"itemData":{"id":76,"type":"article-journal","abstract":"Resumen\n\t\t\t\t\tAunque la prevalencia de la anemia ha disminuido en las últimas décadas, la prevalencia de la anemia global se mantiene en alrededor del 30 % y se estima que contribuye a casi el 9 % de los años con discapacidad. Una mayor apreciación de las múltiples causas que interactúan con la anemia no se refleja en los programas gubernamentales para tratar la anemia. Estos se centran solo en la suplementación con hierro, lo que puede ser la base de su limitada eficacia. Se cuestiona la validez de los puntos de corte de hemoglobina (Hb) utilizados para definir la anemia, propuestos en 1969 por la OMS, en especial aquellos recomendados para su uso en poblaciones de gran altitud (GA), ya que estas generalmente muestran niveles más altos de Hb, como una adaptación para vivir en ella. El uso de este criterio puede aumentar de 5 a 6 veces la prevalencia de anemia, especialmente en poblaciones de más de 3000 metros. En Perú, la anemia es más común en las regiones de altura y en la selva, pero es probable que la etiología difiera debido a los diferentes patrones dietéticos, infecciosos y genéticos entre estas regiones. Existen evidencias de que el umbral de Hb para definir la anemia en niños no coincide con el umbral de 11 g/dL de Hb recomendado por la OMS. También se describe la evidencia de que la corrección de Hb sugerida por la altitud de residencia recomendada también por la OMS es innecesaria, lo que aumenta la prevalencia de anemia en poblaciones de GA. En conclusión, se debe redefinir el umbral de Hb de 11 g/dL utilizado para diagnosticar la anemia en niños menores de 60 meses. Además, como la deficiencia de hierro no es la única causa de anemia, se deben considerar otros biomarcadores para evaluar el contenido de hierro corporal, contribución inflamatoria, folato, vitamina B12 y deficiencia de vitamina A. De esta manera se puede diagnosticar con precisión la causa de la anemia y dar la intervención adecuada.","container-title":"Revista de la Sociedad Peruana de Medicina Interna","DOI":"10.36393/spmi.v31i3.24","ISSN":"1609-7173","issue":"3","language":"es","license":"Derechos de autor 2019 Gustavo F.   Gonzales, Paola  Olavegoya, Cinthya  Vásquez-Velásquez,, Dulce Esperanza  Alarcón-Yaquetto","note":"number: 3","page":"92-103","source":"www.revistamedicinainterna.net","title":"Anemia en niños menores de cinco años. ¿Estamos usando el criterio diagnóstico correcto?","volume":"31","author":[{"family":"Gonzales","given":"Gustavo F."},{"family":"Olavegoya","given":"Paola"},{"family":"Cinthya Vásquez-Velásquez","given":""},{"family":"Alarcón-Yaquetto","given":"Dulce Esperanza"}],"issued":{"date-parts":[["2018"]]}}}],"schema":"https://github.com/citation-style-language/schema/raw/master/csl-citation.json"}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Prevención y Tratamiento:</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Aunque es innegable que el gobierno ha adoptado diversas tácticas con el objetivo de reducir las tasas de incidencia de esta patología. </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{"citationID":"iWth6tmW","properties":{"formattedCitation":"\\super 37\\nosupersub{}","plainCitation":"37","noteIndex":0},"citationItems":[{"id":78,"uris":["http://zotero.org/users/11989680/items/8EZNDYI5"],"itemData":{"id":78,"type":"article-journal","abstract":"RESUMEN Objetivos. Evaluar el impacto de la suplementación con micronutrientes en polvo (MNP) en la reducción de anemia en niños de 10 a 35 meses de edad de Apurímac, Perú. Materiales y métodos. Se realizó un análisis secundario de la base de datos de la Evaluación de suplementación con MNP en la región de Apurímac, realizada por el Centro Nacional de Alimentación y Nutrición (CENAN) entre 2009 y 2010. Se definió como grupo de intervención a los niños que consumieron 60 o más sobres de MNP, para generar los controles (niños sin consumo de MNP) aplicamos un propensity score matching (PSM), y en la estimación del impacto de los MNP comparamos la prevalencia de anemia en cada grupo de estudio, ponderada por la probabilidad de participación, aplicando tres algoritmos de emparejamiento: vecino más cercano, kernel y regresión lineal local. Todos los cálculos se realizaron en el programa estadístico Stata 14 SE. Resultados. La prevalencia de anemia fue significativamente menor hasta en 11 puntos porcentuales en el grupo de intervención comparado con los controles (p=0,001) y que el promedio de hemoglobina aumentó en 0,3 g/dL en el mismo grupo (p&lt;0,001). Conclusiones. La suplementación con MNP mostró impacto para reducir la anemia e incrementar el nivel de hemoglobina en niños que consumieron 60 o más sobres de MNP en un periodo de seis meses. Se deben continuar los esfuerzos por reducir la anemia empleando los MNP para prevenir esta deficiencia nutricional.","container-title":"Revista Peruana de Medicina Experimental y Salud Pública","DOI":"10.17843/rpmesp.2019.361.4042","ISSN":"1726-4634, 1726-4634, 1726-4642","journalAbbreviation":"Rev Peru Med Exp Salud Publica","language":"es","note":"publisher: Instituto Nacional de Salud","page":"17-25","source":"SciELO","title":"Impacto de micronutrientes en polvo sobre la anemia en niños de 10 a 35 meses de edad en Apurímac, Perú","volume":"36","author":[{"family":"Aparco","given":"Juan Pablo"},{"family":"Bullón","given":"Luz"},{"family":"Cusirramos","given":"Sandra"}],"issued":{"date-parts":[["2019",5,13]]}}}],"schema":"https://github.com/citation-style-language/schema/raw/master/csl-citation.json"}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existen diversos problemas por lo que estas no han funcionado como se espera, por ejemplo, los hábitos alimenticios que son muy difíciles de cambiar, sobre todo en zona rural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{"citationID":"NRFOpXPK","properties":{"formattedCitation":"\\super 6\\nosupersub{}","plainCitation":"6","noteIndex":0},"citationItems":[{"id":92,"uris":["http://zotero.org/users/11989680/items/Z32B89WP"],"itemData":{"id":92,"type":"article-journal","container-title":"Revista de Investigaciones Altoandinas","DOI":"10.18271/ria.2018.331","ISSN":"2313-2957","issue":"1","note":"publisher: Universidad Nacional del Altiplano","page":"73-84","source":"SciELO","title":"Impacto de un programa educativo incluyendo un pan fortificado para reducir los niveles de anemia en niños escolares de Yocará, Puno -Perú","volume":"20","author":[{"family":"Soncco-Sucapuca","given":"Maritza"},{"family":"Brousett-Minaya","given":"Magaly A."},{"family":"Pumacahua-Ramos","given":"Augusto"}],"issued":{"date-parts":[["2018",1]]}}}],"schema":"https://github.com/citation-style-language/schema/raw/master/csl-citation.json"}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r>
        <w:rPr>
          <w:rFonts w:ascii="Times New Roman" w:hAnsi="Times New Roman" w:eastAsia="Arial" w:cs="Times New Roman"/>
          <w:color w:val="000000" w:themeColor="text1"/>
          <w14:textFill>
            <w14:solidFill>
              <w14:schemeClr w14:val="tx1"/>
            </w14:solidFill>
          </w14:textFill>
        </w:rPr>
        <w:t xml:space="preserve"> </w:t>
      </w:r>
      <w:r>
        <w:rPr>
          <w:rFonts w:ascii="Times New Roman" w:hAnsi="Times New Roman" w:eastAsia="Arial" w:cs="Times New Roman"/>
          <w:color w:val="000000" w:themeColor="text1"/>
          <w:lang w:val="es-MX"/>
          <w14:textFill>
            <w14:solidFill>
              <w14:schemeClr w14:val="tx1"/>
            </w14:solidFill>
          </w14:textFill>
        </w:rPr>
        <w:t>Por otro lado, un problema en particular en nuestro país es la malnutrición, tanto por déficit calórico como por exceso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{"citationID":"WJySDLCe","properties":{"formattedCitation":"\\super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Este problema está estrechamente relacionado con la aparición de anemia en niños, mujeres en edad fértil y mujeres embarazadas. Es por ello que el Instituto Nacional de Estadística e Informática señala que el estado de salud general de la mujer influye en su bienestar integral, su capacidad reproductiva, el desarrollo adecuado del embarazo, el parto, el período posparto y la lactancia. (sobre todo la lactancia materna exclusiva que tiene hierro con mayor biodisponibilidad durante los 4 primeros meses ); este es un factor determinante en el peso del bebé al nacer, y está asociado a tasas altas de mortalidad infantil</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{"citationID":"K7V1hRc0","properties":{"formattedCitation":"\\super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Así mismo se ha considerado claramente que no solo los alimentos ricos en hierro son importantes, si no que la suplementación de este en la dieta (papillas, mazamorras, etc.)</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{"citationID":"eOwPwzWV","properties":{"formattedCitation":"\\super 16\\nosupersub{}","plainCitation":"16","noteIndex":0},"citationItems":[{"id":31,"uris":["http://zotero.org/users/11989680/items/BUK82FWZ"],"itemData":{"id":31,"type":"article-journal","abstract":"En el mundo existen alrededor de 293 millones de niños menores de cinco años con anemia, que representan alrededor del 47% de niños en países de bajos y medianos ingresos 1; esta enfermedad seria causada, principalmente, por deficiencia de hierro, se considera como un problema de salud pública generalizado que tiene consecuencias de gran alcance para la salud humana, para el desarrollo social y económico, dentro de esta afectación la de mayor prevalencia es la anemia ferropénica 2, Según la Organización Mundial de la Salud (OMS), esta presenta una prevalencia de 48.8% a nivel mundial, en población latinoamericana la prevalencia es del 58%; se estima que Colombia tiene una prevalencia entre el 20% y 39.9% de la población 3. en esta investigación se realizará una recopilación y organización de información bibliográfica de centros de documentación como bases de datos y de revistas indexadas de factores asociados a la deficiencia de hierro en niños colombianos.","container-title":"Biociencias","ISSN":"2619-4759","issue":"3","language":"es","license":"Derechos de autor 2018 Biociencias","note":"number: 3","source":"hemeroteca.unad.edu.co","title":"Anemia ferropénica en la población escolar de Colombia. Una revisión de la literatura","URL":"https://hemeroteca.unad.edu.co/index.php/Biociencias/article/view/2236","volume":"1","author":[{"family":"Alfonso","given":"L."},{"family":"Arango","given":"D."},{"family":"Argoty","given":"D."},{"family":"Ramírez","given":"L."},{"family":"Rodríguez","given":"J."}],"accessed":{"date-parts":[["2022",11,28]]},"issued":{"date-parts":[["2017"]]}}}],"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además de la administración rutinaria de hierro por vía oral son indispensables para el manejo de la anemia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{"citationID":"KcIsRJIT","properties":{"formattedCitation":"\\super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El manejo con hierro, ya sea como medida preventiva o diagnóstica, se lleva a cabo siguiendo el esquema vigente establecido. El tratamiento con suplementos de hierro en cualquiera de sus formas (gotas, jarabe, tabletas o polvo), ya sea con sulfato ferroso o complejo polimaltosado férrico, debe realizarse a dosis diaria y de manera rutinaria. La duración del tratamiento suele ser de 6 meses, considerando las condiciones fisiológicas del paciente, su edad y los niveles de hemoglobina. Esto garantiza una terapia efectiva para corregir la deficiencia de hierro y tratar la anemia de manera adecuada.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{"citationID":"iP5Gpd1u","properties":{"formattedCitation":"\\super 5,21\\nosupersub{}","plainCitation":"5,21","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id":42,"uris":["http://zotero.org/users/11989680/items/GVPAIAJ9"],"itemData":{"id":42,"type":"article-journal","abstract":"OBJETIVO: Determinar los factores asociados a la anemia en niños menores a 5 años, según los datos recolectados por la ENDES 2019. MATERIALES Y MÉTODOS: Se realizó un estudio observacional, transversal y analítico, basado en fuentes secundarias utilizando datos de la Encuesta Demográfica y de Salud Familiar 2019. La población de estudio se compuso por niños menores a 5 años del Perú con datos registrados en dicha encuesta y recolectados utilizando la plataforma virtual del INEI en módulos seleccionados que contenían las variables de estudio, usando la sintaxis de la ENDES se procesaron en el programa SPSS v25 y STATA v16. RESULTADOS: El análisis multivariado reveló que en los 11205 niños estudiados los varones tienen 1,2 veces más riesgo de presentar anemia (RP=1,161; IC: 1,062 – 1,269), al igual que los niños que tuvieron edades menores a 35 meses (RP=1,698; IC: 1,517 – 1,900) o de 36 a 47 meses (RP=1,342; IC: 1,195 – 1,507), los niños que viven en área rural (RP=1,144; IC: 1,016 – 1,289), los niños con madres con nivel de instrucción primario (RP=1,178; IC: 1,012 – 1,373), los niños con un índice de riqueza de las categorías el más pobre (RP=1,933; IC: 1,487 – 2,512), pobre (RP=1,745; IC: 1,370 – 2,223) , medio (RP=1,421; IC: 1,115 – 1,811)  o rico (RP=1,438; IC: 1,119 – 1,848)  y el recibir hierro en jarabe para prevenir anemia (RP=1,228; IC: 1,114 – 1,352). CONCLUSIONES: Se halló asociación estadísticamente significativa con los factores sociodemográficos sexo, edad, ámbito de residencia, nivel de instrucción de la madre, nivel de riqueza y con la no suplementación preventiva de hierro en la presentación de jarabe.","container-title":"Universidad Ricardo Palma","language":"spa","license":"info:eu-repo/semantics/openAccess","note":"Accepted: 2021-05-30T21:47:25Z\npublisher: Universidad Ricardo Palma","source":"repositorio.urp.edu.pe","title":"Características y factores relacionados a la anemia en niños menores a 5 años, ENDES 2019.","URL":"https://repositorio.urp.edu.pe/handle/20.500.14138/3719","author":[{"family":"Vásquez Chacaliaza","given":"Luis Anthony Alexander"}],"accessed":{"date-parts":[["2022",11,28]]},"issued":{"date-parts":[["2021"]]}}}],"schema":"https://github.com/citation-style-language/schema/raw/master/csl-citation.json"}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5,21</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 Mientras que el manejo profiláctico incluye dosis únicas (o fraccionadas en 2 si es que surgen reacciones adversas como estreñimiento)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{"citationID":"U3Zu87SY","properties":{"formattedCitation":"\\super 38\\nosupersub{}","plainCitation":"38","noteIndex":0},"citationItems":[{"id":115,"uris":["http://zotero.org/users/11989680/items/8TL3RYQR"],"itemData":{"id":115,"type":"document","title":"MED-Montoya Fernández, Ligia .pdf","URL":"https://repositorio.urp.edu.pe/bitstream/handle/20.500.14138/5456/MED-Montoya%20Fern%c3%a1ndez%2c%20Ligia%20.pdf?sequence=1&amp;isAllowed=y","accessed":{"date-parts":[["2023",7,6]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38</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el caso de los niños, el proceso de detección se lleva a cabo a los 4 meses de edad, y la suplementación preventiva comienza en ese momento. Se utilizan gotas de sulfato ferroso o complejo polimaltosado férrico, administradas hasta que el niño alcance los 6 meses de edad, con una dosis de 2 mg/kg/día. A partir de los 6 meses, el personal de salud indicará el consumo de micronutrientes en polvo, que consiste en 360 sobres, uno por día. Estos micronutrientes se pueden ofrecer en forma de gotas o jarabe, según la disponibilidad del establecimiento de salud.</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{"citationID":"tgVf8Tyt","properties":{"formattedCitation":"\\super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El tratamiento con suplementación de hierro en niños incluye el peso al nacimiento o si son prematuros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{"citationID":"zMm96cK7","properties":{"formattedCitation":"\\super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En los dos últimos casos mencionados, el tratamiento se comenzará cuando el bebé tenga 30 días de vida, asegurando que ya haya completado la alimentación enteral. La dosis recomendada será de 4 mg/kg/día y se administrará durante un período continuo de 6 meses. Sin embargo, en el caso de los bebés nacidos a término y con un peso adecuado al nacer, la dosis de hierro será de 3 mg/kg/día, también ofrecida durante 6 meses consecutivos.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{"citationID":"GdccrapB","properties":{"formattedCitation":"\\super 36\\nosupersub{}","plainCitation":"36","noteIndex":0},"citationItems":[{"id":76,"uris":["http://zotero.org/users/11989680/items/KE9EGGT8"],"itemData":{"id":76,"type":"article-journal","abstract":"Resumen\n\t\t\t\t\tAunque la prevalencia de la anemia ha disminuido en las últimas décadas, la prevalencia de la anemia global se mantiene en alrededor del 30 % y se estima que contribuye a casi el 9 % de los años con discapacidad. Una mayor apreciación de las múltiples causas que interactúan con la anemia no se refleja en los programas gubernamentales para tratar la anemia. Estos se centran solo en la suplementación con hierro, lo que puede ser la base de su limitada eficacia. Se cuestiona la validez de los puntos de corte de hemoglobina (Hb) utilizados para definir la anemia, propuestos en 1969 por la OMS, en especial aquellos recomendados para su uso en poblaciones de gran altitud (GA), ya que estas generalmente muestran niveles más altos de Hb, como una adaptación para vivir en ella. El uso de este criterio puede aumentar de 5 a 6 veces la prevalencia de anemia, especialmente en poblaciones de más de 3000 metros. En Perú, la anemia es más común en las regiones de altura y en la selva, pero es probable que la etiología difiera debido a los diferentes patrones dietéticos, infecciosos y genéticos entre estas regiones. Existen evidencias de que el umbral de Hb para definir la anemia en niños no coincide con el umbral de 11 g/dL de Hb recomendado por la OMS. También se describe la evidencia de que la corrección de Hb sugerida por la altitud de residencia recomendada también por la OMS es innecesaria, lo que aumenta la prevalencia de anemia en poblaciones de GA. En conclusión, se debe redefinir el umbral de Hb de 11 g/dL utilizado para diagnosticar la anemia en niños menores de 60 meses. Además, como la deficiencia de hierro no es la única causa de anemia, se deben considerar otros biomarcadores para evaluar el contenido de hierro corporal, contribución inflamatoria, folato, vitamina B12 y deficiencia de vitamina A. De esta manera se puede diagnosticar con precisión la causa de la anemia y dar la intervención adecuada.","container-title":"Revista de la Sociedad Peruana de Medicina Interna","DOI":"10.36393/spmi.v31i3.24","ISSN":"1609-7173","issue":"3","language":"es","license":"Derechos de autor 2019 Gustavo F.   Gonzales, Paola  Olavegoya, Cinthya  Vásquez-Velásquez,, Dulce Esperanza  Alarcón-Yaquetto","note":"number: 3","page":"92-103","source":"www.revistamedicinainterna.net","title":"Anemia en niños menores de cinco años. ¿Estamos usando el criterio diagnóstico correcto?","volume":"31","author":[{"family":"Gonzales","given":"Gustavo F."},{"family":"Olavegoya","given":"Paola"},{"family":"Cinthya Vásquez-Velásquez","given":""},{"family":"Alarcón-Yaquetto","given":"Dulce Esperanza"}],"issued":{"date-parts":[["2018"]]}}}],"schema":"https://github.com/citation-style-language/schema/raw/master/csl-citation.json"}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36</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El tratamiento con hierro en los niños, que tienen entre 6 meses y 11 años, y han sido diagnosticados con anemia, se realiza con una dosis de 3mg/kg/día. En todos estos casos, se hará el control de hemoglobina a los 3 meses y a los 6 meses de iniciado el tratamiento con hierro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{"citationID":"9WsadGfY","properties":{"formattedCitation":"\\super 38\\nosupersub{}","plainCitation":"38","noteIndex":0},"citationItems":[{"id":115,"uris":["http://zotero.org/users/11989680/items/8TL3RYQR"],"itemData":{"id":115,"type":"document","title":"MED-Montoya Fernández, Ligia .pdf","URL":"https://repositorio.urp.edu.pe/bitstream/handle/20.500.14138/5456/MED-Montoya%20Fern%c3%a1ndez%2c%20Ligia%20.pdf?sequence=1&amp;isAllowed=y","accessed":{"date-parts":[["2023",7,6]]}}}],"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38</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En el caso de las adolescentes de 12 a 17 años, la prevención de la anemia se lleva a cabo mediante la administración de 2 tabletas de 60 mg de hierro elemental y 400 ug de ácido fólico una vez a la semana, durante un período continuo de 3 meses al año. Por otro lado, en las gestantes, a partir de la semana 14 de gestación, y en las mujeres que han dado a luz (puérperas) hasta los 30 días después del parto, se les administrarán suplementos de hierro en una dosis diaria de 60 mg de hierro elemental más 400 ug de ácido fólico, lo que equivale a 1 tableta al día, durante un período de 3 meses.</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{"citationID":"UmLCZWuI","properties":{"formattedCitation":"\\super 7\\nosupersub{}","plainCitation":"7","noteIndex":0},"citationItems":[{"id":46,"uris":["http://zotero.org/users/11989680/items/GHHNZ2BM"],"itemData":{"id":46,"type":"article-journal","abstract":"Iron deficiency is the most important causal factor of anemia. Preschoolers are particularly vulnerable; a recent analysis reported a prevalence rate higher than 35% among children less than 2 years old in Argentina. Its early detection, right treatment, and suitable prophylaxis currently take priority in our country. This guideline establishes the definition of anemia in relation to chronological age, gestational age and habitat, reviews main causes of iron deficiency, and sets guidelines for diagnosis, detection, differential diagnosis, treatment, prevention and screening of iron deficiency.","container-title":"Archivos Argentinos de Pediatria","DOI":"10.5546/aap.2017.s68","ISSN":"03250075","issue":"04","journalAbbreviation":"Arch Argent Pediat","language":"es","source":"DOI.org (Crossref)","title":"Deficiencia de hierro y anemia ferropénica. Guía para su prevención, diagnóstico y tratamiento. Texto completo","URL":"http://www.sap.org.ar/docs/publicaciones/archivosarg/2017/v115n4a32s.pdf","volume":"115","accessed":{"date-parts":[["2022",11,28]]},"issued":{"date-parts":[["2017",8,1]]}}}],"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En situaciones en las que la gestante no haya comenzado la suplementación de hierro y ácido fólico en la semana 14 de su embarazo, se debe iniciar después de la primera consulta prenatal. Sin embargo, si la gestante comienza la atención prenatal después de las 32 semanas de gestación, se le proporcionará una dosis diaria de 120 mg de hierro elemental y 800 ug de ácido fólico durante un período de 3 meses. Esto generalmente se logra mediante la administración de 2 tabletas de 60 mg de hierro elemental y 400 ug de ácido fólico cada una, o su equivalente en Hierro Polimaltosado.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{"citationID":"bsllQN6H","properties":{"formattedCitation":"\\super 12,13,34\\nosupersub{}","plainCitation":"12,13,34","noteIndex":0},"citationItems":[{"id":24,"uris":["http://zotero.org/users/11989680/items/4WBL7FYT"],"itemData":{"id":24,"type":"article-journal","abstract":"OBJECTIVE: Anemia in infants is a common problem, with regular iron supplementation the suggested policy for prevention and control of anemia. The aim of this study was to determine the prevalence and the determining factors of anemia as well as the benefits of regular iron supplementation in 6- to 12-month-old children.\nDESIGN/SETTING/SUBJECTS: In this cross-sectional study, 897 children aged from 6 to 12 months cared for at the Tabas Health Centers, affiliated with Birjand University of Medical Sciences, South Khorasan, Iran, were enrolled in the study. Demographic and anthropometric data as well as the level of hemoglobin were collected through interviews and laboratory tests, respectively. Data analysis was performed using SPSS-22 and stata-13. Chi2, polychromic PCA, and logistic regression were used. The statistical significance level was 0.05.\nRESULT: The prevalence of anemia, according to the WHO criterion for hemoglobin, was 36.8% (95% CI, 33.6-40.0). Its prevalence showed a decreasing trend as age and duration of iron supplement increased. Each 1-month increase in infant age was associated with a decreased risk of anemia [OR=0.88 (95% CI, 0.80-0.98)]. Anemia was not significantly different between genders. Individuals in the highest category for parity (≥3) were at a 2.3-fold greater risk of anemia compared with the lowest category [OR=2.35 (95% CI, 1.43-3.84)]. In contrast, individuals in the highest category for maternal age (&gt;35 years) had a 62% lower risk of anemia compared with the reference category (&lt;25 years) [OR=0.38 (95% CI, 0.20-0.72)].\nCONCLUSION: Implementation of an iron supplementation plan in Iran has decreased anemia among 6- to 12-month-old children.","container-title":"Archives De Pediatrie: Organe Officiel De La Societe Francaise De Pediatrie","DOI":"10.1016/j.arcped.2019.08.007","ISSN":"1769-664X","issue":"6","journalAbbreviation":"Arch Pediatr","language":"eng","note":"PMID: 31521442","page":"347-351","source":"PubMed","title":"Prevalence and determinant factors of anemia in children aged 6-12 months after starting an iron supplement in the east of Iran","volume":"26","author":[{"family":"Riahi","given":"Seyed Mohammad"},{"family":"Mohammadi","given":"Maryam"},{"family":"Fakhri","given":"Yadolah"},{"family":"Pordanjani","given":"Sajjad Rahimi"},{"family":"Soleimani","given":"Farin"},{"family":"Saadati","given":"Hossein Mozafar"}],"issued":{"date-parts":[["2019",9]]}}},{"id":21,"uris":["http://zotero.org/users/11989680/items/UTH8LHSQ"],"itemData":{"id":21,"type":"article-journal","abstract":"OBJECTIVE: To assess associations between breastfeeding and iron status at 9 months of age in 2 samples of Chinese infants.\nSTUDY DESIGN: Associations between feeding at 9 months of age (breastfed as sole milk source, mixed fed, or formula fed) and iron deficiency anemia (IDA), iron deficiency, and iron sufficiency were determined in infants from Zhejiang (n = 142) and Hebei (n= 813) provinces. Iron deficiency was defined as body iron &lt; 0 mg/kg, and IDA as iron deficiency + hemoglobin &lt; 110 g/L. Multiple logistic regression assessed associations between feeding pattern and iron status.\nRESULTS: Breastfeeding was associated with iron status (P &lt; .001). In Zhejiang, 27.5% of breastfed infants had IDA compared with 0% of formula-fed infants. The odds of iron deficiency/IDA were increased in breastfed and mixed-fed infants compared with formula-fed infants: breastfed vs formula-fed OR, 28.8 (95% CI, 3.7-226.4) and mixed-fed vs formula-fed OR, 11.0 (95% CI, 1.2-103.2). In Hebei, 44.0% of breastfed infants had IDA compared with 2.8% of formula-fed infants. With covariable adjustment, odds of IDA were increased in breastfed and mixed-fed groups: breastfed vs formula-fed OR, 78.8 (95% CI, 27.2-228.1) and mixed-fed vs formula-fed OR, 21.0 (95% CI, 7.3-60.9).\nCONCLUSIONS: In both cohorts, the odds of iron deficiency/IDA at 9 months of age were increased in breastfed and mixed-fed infants, and iron deficiency/IDA was common. Although the benefits of breastfeeding are indisputable, these findings add to the evidence that breastfeeding in later infancy identifies infants at risk for iron deficiency/IDA in many settings. Protocols for detecting and preventing iron deficiency/IDA in breastfed infants are needed.\nTRIAL REGISTRATION: ClinicalTrials.gov: NCT00642863 and NCT00613717.","container-title":"The Journal of Pediatrics","DOI":"10.1016/j.jpeds.2016.10.041","ISSN":"1097-6833","journalAbbreviation":"J Pediatr","language":"eng","note":"PMID: 27836288\nPMCID: PMC5274569","page":"56-61","source":"PubMed","title":"Breastfeeding, Mixed, or Formula Feeding at 9 Months of Age and the Prevalence of Iron Deficiency and Iron Deficiency Anemia in Two Cohorts of Infants in China","volume":"181","author":[{"family":"Clark","given":"Katy M."},{"family":"Li","given":"Ming"},{"family":"Zhu","given":"Bingquan"},{"family":"Liang","given":"Furong"},{"family":"Shao","given":"Jie"},{"family":"Zhang","given":"Yueyang"},{"family":"Ji","given":"Chai"},{"family":"Zhao","given":"Zhengyan"},{"family":"Kaciroti","given":"Niko"},{"family":"Lozoff","given":"Betsy"}],"issued":{"date-parts":[["2017",2]]}}},{"id":62,"uris":["http://zotero.org/users/11989680/items/YXJXCGG4"],"itemData":{"id":62,"type":"webpage","title":"Iron deficiency in infants and children &lt;12 years: Treatment - UpToDate","URL":"https://www.uptodate.com/contents/iron-deficiency-in-infants-and-children-less-than12-years-treatment?search=irondeficiency-in-infants-and-children-less-than12-years-treatment&amp;source=search_result&amp;selectedTitle=1~150&amp;usage_type=default&amp;display_rank=1","accessed":{"date-parts":[["2022",11,28]]}}}],"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12,13,34</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También es viable recomendar tomar suplementos junto con las comidas, aunque esto pueda influir en la absorción de hierro. Es importante destacar que la prescripción de hierro y ácido fólico debe ir acompañada de orientación nutricional, conforme a las pautas establecidas en la Guía Técnica titulada "Asesoramiento nutricional en el marco de la atención integral de salud para mujeres embarazadas y posparto" (aprobada con RM N° 460- 2015/MINSA)</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{"citationID":"W54BhVgJ","properties":{"formattedCitation":"\\super 5\\nosupersub{}","plainCitation":"5","noteIndex":0},"citationItems":[{"id":97,"uris":["http://zotero.org/users/11989680/items/NVPZ4HLM"],"itemData":{"id":97,"type":"document","title":"Plan_nacional_para_la_reducción_y_control_de_la_anemia_materno_infantil_y_la_desnutrición_crónica_infantil_en_el_Perú__2017___2021._Documento_técnico20190621-17253-s9ub98.pdf","URL":"https://cdn.www.gob.pe/uploads/document/file/322898/Plan_nacional_para_la_reducci%C3%B3n_y_control_de_la_anemia_materno_infantil_y_la_desnutrici%C3%B3n_cr%C3%B3nica_infantil_en_el_Per%C3%BA__2017___2021._Documento_t%C3%A9cnico20190621-17253-s9ub98.pdf?v=1561140241","accessed":{"date-parts":[["2023",7,4]]}}}],"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5</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Por tanto, la identificación temprana, el diagnóstico oportuno, el tratamiento y la vigilancia tanto de las mujeres embarazadas durante el primer trimestre de gestación como de los bebés son medidas esenciales que reducen los peligros de complicaciones y graves consecuencias para la salud de la madre y el niño.</w:t>
      </w:r>
      <w:r>
        <w:rPr>
          <w:rFonts w:ascii="Times New Roman" w:hAnsi="Times New Roman" w:eastAsia="Arial" w:cs="Times New Roman"/>
          <w:color w:val="000000" w:themeColor="text1"/>
          <w:lang w:val="es-MX"/>
          <w14:textFill>
            <w14:solidFill>
              <w14:schemeClr w14:val="tx1"/>
            </w14:solidFill>
          </w14:textFill>
        </w:rPr>
        <w:fldChar w:fldCharType="begin"/>
      </w:r>
      <w:r>
        <w:rPr>
          <w:rFonts w:ascii="Times New Roman" w:hAnsi="Times New Roman" w:eastAsia="Arial" w:cs="Times New Roman"/>
          <w:color w:val="000000" w:themeColor="text1"/>
          <w:lang w:val="es-MX"/>
          <w14:textFill>
            <w14:solidFill>
              <w14:schemeClr w14:val="tx1"/>
            </w14:solidFill>
          </w14:textFill>
        </w:rPr>
        <w:instrText xml:space="preserve"> ADDIN ZOTERO_ITEM CSL_CITATION {"citationID":"nyH3oxI3","properties":{"formattedCitation":"\\super 37\\nosupersub{}","plainCitation":"37","noteIndex":0},"citationItems":[{"id":78,"uris":["http://zotero.org/users/11989680/items/8EZNDYI5"],"itemData":{"id":78,"type":"article-journal","abstract":"RESUMEN Objetivos. Evaluar el impacto de la suplementación con micronutrientes en polvo (MNP) en la reducción de anemia en niños de 10 a 35 meses de edad de Apurímac, Perú. Materiales y métodos. Se realizó un análisis secundario de la base de datos de la Evaluación de suplementación con MNP en la región de Apurímac, realizada por el Centro Nacional de Alimentación y Nutrición (CENAN) entre 2009 y 2010. Se definió como grupo de intervención a los niños que consumieron 60 o más sobres de MNP, para generar los controles (niños sin consumo de MNP) aplicamos un propensity score matching (PSM), y en la estimación del impacto de los MNP comparamos la prevalencia de anemia en cada grupo de estudio, ponderada por la probabilidad de participación, aplicando tres algoritmos de emparejamiento: vecino más cercano, kernel y regresión lineal local. Todos los cálculos se realizaron en el programa estadístico Stata 14 SE. Resultados. La prevalencia de anemia fue significativamente menor hasta en 11 puntos porcentuales en el grupo de intervención comparado con los controles (p=0,001) y que el promedio de hemoglobina aumentó en 0,3 g/dL en el mismo grupo (p&lt;0,001). Conclusiones. La suplementación con MNP mostró impacto para reducir la anemia e incrementar el nivel de hemoglobina en niños que consumieron 60 o más sobres de MNP en un periodo de seis meses. Se deben continuar los esfuerzos por reducir la anemia empleando los MNP para prevenir esta deficiencia nutricional.","container-title":"Revista Peruana de Medicina Experimental y Salud Pública","DOI":"10.17843/rpmesp.2019.361.4042","ISSN":"1726-4634, 1726-4634, 1726-4642","journalAbbreviation":"Rev Peru Med Exp Salud Publica","language":"es","note":"publisher: Instituto Nacional de Salud","page":"17-25","source":"SciELO","title":"Impacto de micronutrientes en polvo sobre la anemia en niños de 10 a 35 meses de edad en Apurímac, Perú","volume":"36","author":[{"family":"Aparco","given":"Juan Pablo"},{"family":"Bullón","given":"Luz"},{"family":"Cusirramos","given":"Sandra"}],"issued":{"date-parts":[["2019",5,13]]}}}],"schema":"https://github.com/citation-style-language/schema/raw/master/csl-citation.json"} </w:instrText>
      </w:r>
      <w:r>
        <w:rPr>
          <w:rFonts w:ascii="Times New Roman" w:hAnsi="Times New Roman" w:eastAsia="Arial" w:cs="Times New Roman"/>
          <w:color w:val="000000" w:themeColor="text1"/>
          <w:lang w:val="es-MX"/>
          <w14:textFill>
            <w14:solidFill>
              <w14:schemeClr w14:val="tx1"/>
            </w14:solidFill>
          </w14:textFill>
        </w:rPr>
        <w:fldChar w:fldCharType="separate"/>
      </w:r>
      <w:r>
        <w:rPr>
          <w:rFonts w:ascii="Times New Roman" w:hAnsi="Times New Roman" w:cs="Times New Roman"/>
          <w:vertAlign w:val="superscript"/>
        </w:rPr>
        <w:t>37</w:t>
      </w:r>
      <w:r>
        <w:rPr>
          <w:rFonts w:ascii="Times New Roman" w:hAnsi="Times New Roman" w:eastAsia="Arial" w:cs="Times New Roman"/>
          <w:color w:val="000000" w:themeColor="text1"/>
          <w:lang w:val="es-MX"/>
          <w14:textFill>
            <w14:solidFill>
              <w14:schemeClr w14:val="tx1"/>
            </w14:solidFill>
          </w14:textFill>
        </w:rPr>
        <w:fldChar w:fldCharType="end"/>
      </w:r>
      <w:r>
        <w:rPr>
          <w:rFonts w:ascii="Times New Roman" w:hAnsi="Times New Roman" w:eastAsia="Arial" w:cs="Times New Roman"/>
          <w:color w:val="000000" w:themeColor="text1"/>
          <w:lang w:val="es-MX"/>
          <w14:textFill>
            <w14:solidFill>
              <w14:schemeClr w14:val="tx1"/>
            </w14:solidFill>
          </w14:textFill>
        </w:rPr>
        <w:t xml:space="preserve">. </w:t>
      </w:r>
    </w:p>
    <w:p>
      <w:pPr>
        <w:pStyle w:val="26"/>
      </w:pPr>
    </w:p>
    <w:p>
      <w:pPr>
        <w:pStyle w:val="3"/>
        <w:rPr>
          <w:rFonts w:ascii="Times New Roman" w:hAnsi="Times New Roman" w:cs="Times New Roman"/>
          <w:b/>
          <w:bCs/>
          <w:color w:val="auto"/>
          <w:sz w:val="24"/>
          <w:szCs w:val="24"/>
        </w:rPr>
      </w:pPr>
      <w:bookmarkStart w:id="22" w:name="_Toc145737798"/>
      <w:r>
        <w:rPr>
          <w:rFonts w:ascii="Times New Roman" w:hAnsi="Times New Roman" w:cs="Times New Roman"/>
          <w:b/>
          <w:bCs/>
          <w:color w:val="auto"/>
          <w:sz w:val="24"/>
          <w:szCs w:val="24"/>
        </w:rPr>
        <w:t>2.3. DEFINICIÓN DE CONCEPTOS OPERACIONALES</w:t>
      </w:r>
      <w:bookmarkEnd w:id="22"/>
      <w:r>
        <w:rPr>
          <w:rFonts w:ascii="Times New Roman" w:hAnsi="Times New Roman" w:cs="Times New Roman"/>
          <w:b/>
          <w:bCs/>
          <w:color w:val="auto"/>
          <w:sz w:val="24"/>
          <w:szCs w:val="24"/>
        </w:rPr>
        <w:br w:type="textWrapping"/>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 xml:space="preserve">Anemia ferropénica: Nivel de hemoglobina menor de 10.9 mg/dl en un primer control </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Edad: Edad de la madre en años en el momento de la entrevista</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Estado Civil: Relación de la madre en el momento de la entrevista</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Grado de instrucción: Nivel de educación de la madre alcanzado hasta el momento de la entrevista</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 xml:space="preserve">Sexo: sexo biológico del infante (femenino o masculino) </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 xml:space="preserve">Rango de edad: Rango de edad en meses donde se encuentra el paciente con anemia </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Nivel de conocimiento de anemia ferropénica: Grado de conocimiento de acuerdo con el cuestionario sobre el nivel de conocimiento de anemia ferropénica</w:t>
      </w:r>
    </w:p>
    <w:p>
      <w:pPr>
        <w:pStyle w:val="26"/>
        <w:numPr>
          <w:ilvl w:val="0"/>
          <w:numId w:val="6"/>
        </w:numPr>
        <w:spacing w:line="360" w:lineRule="auto"/>
        <w:ind w:left="284"/>
        <w:jc w:val="both"/>
        <w:rPr>
          <w:rFonts w:ascii="Times New Roman" w:hAnsi="Times New Roman" w:cs="Times New Roman"/>
        </w:rPr>
      </w:pPr>
      <w:r>
        <w:rPr>
          <w:rFonts w:ascii="Times New Roman" w:hAnsi="Times New Roman" w:cs="Times New Roman"/>
        </w:rPr>
        <w:t xml:space="preserve">Respuesta a tratamiento: Dosaje de hemoglibina en valores normales posterior al tratamiento </w:t>
      </w:r>
    </w:p>
    <w:p>
      <w:pPr>
        <w:pStyle w:val="26"/>
        <w:spacing w:line="360" w:lineRule="auto"/>
        <w:jc w:val="both"/>
        <w:rPr>
          <w:rFonts w:ascii="Times New Roman" w:hAnsi="Times New Roman" w:cs="Times New Roman"/>
        </w:rPr>
      </w:pPr>
    </w:p>
    <w:p>
      <w:pPr>
        <w:pStyle w:val="26"/>
        <w:spacing w:line="360" w:lineRule="auto"/>
        <w:jc w:val="both"/>
        <w:rPr>
          <w:rFonts w:ascii="Times New Roman" w:hAnsi="Times New Roman" w:cs="Times New Roman"/>
        </w:rPr>
      </w:pPr>
    </w:p>
    <w:p>
      <w:pPr>
        <w:pStyle w:val="26"/>
        <w:spacing w:line="360" w:lineRule="auto"/>
        <w:jc w:val="both"/>
        <w:rPr>
          <w:rFonts w:ascii="Times New Roman" w:hAnsi="Times New Roman" w:cs="Times New Roman"/>
        </w:rPr>
      </w:pPr>
    </w:p>
    <w:p>
      <w:pPr>
        <w:pStyle w:val="26"/>
        <w:spacing w:line="360" w:lineRule="auto"/>
        <w:jc w:val="both"/>
        <w:rPr>
          <w:rFonts w:ascii="Times New Roman" w:hAnsi="Times New Roman" w:cs="Times New Roman"/>
        </w:rPr>
      </w:pPr>
    </w:p>
    <w:p>
      <w:pPr>
        <w:pStyle w:val="26"/>
        <w:spacing w:line="360" w:lineRule="auto"/>
        <w:jc w:val="both"/>
        <w:rPr>
          <w:rFonts w:ascii="Times New Roman" w:hAnsi="Times New Roman" w:cs="Times New Roman"/>
        </w:rPr>
      </w:pPr>
    </w:p>
    <w:p>
      <w:pPr>
        <w:pStyle w:val="2"/>
        <w:rPr>
          <w:rFonts w:ascii="Times New Roman" w:hAnsi="Times New Roman" w:cs="Times New Roman"/>
          <w:b/>
          <w:bCs/>
          <w:color w:val="auto"/>
          <w:sz w:val="24"/>
          <w:szCs w:val="24"/>
        </w:rPr>
      </w:pPr>
      <w:bookmarkStart w:id="23" w:name="_Toc145737799"/>
      <w:r>
        <w:rPr>
          <w:rFonts w:ascii="Times New Roman" w:hAnsi="Times New Roman" w:cs="Times New Roman"/>
          <w:b/>
          <w:bCs/>
          <w:color w:val="auto"/>
          <w:sz w:val="24"/>
          <w:szCs w:val="24"/>
        </w:rPr>
        <w:t>CAPITULO III: HIPÓTESIS Y VARIABLES</w:t>
      </w:r>
      <w:bookmarkEnd w:id="23"/>
    </w:p>
    <w:p/>
    <w:p>
      <w:pPr>
        <w:pStyle w:val="3"/>
        <w:rPr>
          <w:rFonts w:ascii="Times New Roman" w:hAnsi="Times New Roman" w:cs="Times New Roman"/>
          <w:b/>
          <w:bCs/>
          <w:color w:val="auto"/>
          <w:sz w:val="24"/>
          <w:szCs w:val="24"/>
        </w:rPr>
      </w:pPr>
      <w:bookmarkStart w:id="24" w:name="_Toc145737800"/>
      <w:r>
        <w:rPr>
          <w:rFonts w:ascii="Times New Roman" w:hAnsi="Times New Roman" w:cs="Times New Roman"/>
          <w:b/>
          <w:bCs/>
          <w:color w:val="auto"/>
          <w:sz w:val="24"/>
          <w:szCs w:val="24"/>
        </w:rPr>
        <w:t>3.1. HIPÓTESIS: GENERAL, ESPECÍFICAS</w:t>
      </w:r>
      <w:bookmarkEnd w:id="24"/>
    </w:p>
    <w:p>
      <w:pPr>
        <w:pStyle w:val="26"/>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Hipótesis general:</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Existe asociación entre el </w:t>
      </w:r>
      <w:r>
        <w:rPr>
          <w:rFonts w:ascii="Times New Roman" w:hAnsi="Times New Roman" w:eastAsia="Arial" w:cs="Times New Roman"/>
          <w:color w:val="000000" w:themeColor="text1"/>
          <w14:textFill>
            <w14:solidFill>
              <w14:schemeClr w14:val="tx1"/>
            </w14:solidFill>
          </w14:textFill>
        </w:rPr>
        <w:t>nivel de conocimiento de Anemia Ferropénica de las madres y la respuesta al tratamiento de pacientes anémicos evaluados en el Centro Materno Infantil Villa María del Triunfo entre Mayo y Noviembre del 2021</w:t>
      </w:r>
    </w:p>
    <w:p>
      <w:pPr>
        <w:spacing w:line="360" w:lineRule="auto"/>
        <w:jc w:val="both"/>
        <w:rPr>
          <w:rFonts w:ascii="Times New Roman" w:hAnsi="Times New Roman" w:eastAsia="Arial" w:cs="Times New Roman"/>
          <w:color w:val="000000" w:themeColor="text1"/>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Hipótesis específicas:</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El nivel de conocimiento alto está asociado a la respuesta al tratamiento de pacientes evaluados con anemia ferropénica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El nivel de conocimiento medio s está asociado a la respuesta al tratamiento de pacientes evaluados con anemia ferropénica en el Centro Materno Infantil Villa María del Triunfo entre Mayo y Noviembre del 2021</w:t>
      </w:r>
    </w:p>
    <w:p>
      <w:pPr>
        <w:pStyle w:val="26"/>
        <w:numPr>
          <w:ilvl w:val="0"/>
          <w:numId w:val="1"/>
        </w:numPr>
        <w:spacing w:line="360" w:lineRule="auto"/>
        <w:jc w:val="both"/>
        <w:rPr>
          <w:rFonts w:ascii="Times New Roman" w:hAnsi="Times New Roman" w:cs="Times New Roman"/>
          <w:lang w:val="es-PE"/>
        </w:rPr>
      </w:pPr>
      <w:r>
        <w:rPr>
          <w:rFonts w:ascii="Times New Roman" w:hAnsi="Times New Roman" w:cs="Times New Roman"/>
          <w:lang w:val="es-PE"/>
        </w:rPr>
        <w:t>El nivel de conocimiento bajo está asociado a la respuesta al tratamiento de pacientes evaluados con anemia ferropénica en el Centro Materno Infantil Villa María del Triunfo entre Mayo y Noviembre del 2021</w:t>
      </w:r>
    </w:p>
    <w:p>
      <w:pPr>
        <w:pStyle w:val="26"/>
        <w:rPr>
          <w:lang w:val="es-PE"/>
        </w:rPr>
      </w:pPr>
    </w:p>
    <w:p>
      <w:pPr>
        <w:pStyle w:val="3"/>
        <w:rPr>
          <w:rFonts w:ascii="Times New Roman" w:hAnsi="Times New Roman" w:cs="Times New Roman"/>
          <w:b/>
          <w:bCs/>
        </w:rPr>
      </w:pPr>
      <w:bookmarkStart w:id="25" w:name="_Toc145737801"/>
      <w:r>
        <w:rPr>
          <w:rFonts w:ascii="Times New Roman" w:hAnsi="Times New Roman" w:cs="Times New Roman"/>
          <w:b/>
          <w:bCs/>
          <w:color w:val="auto"/>
        </w:rPr>
        <w:t>3.2. VARIABLES PRINCIPALES DE INVESTIGACIÓN</w:t>
      </w:r>
      <w:bookmarkEnd w:id="25"/>
      <w:r>
        <w:rPr>
          <w:rFonts w:ascii="Times New Roman" w:hAnsi="Times New Roman" w:cs="Times New Roman"/>
          <w:b/>
          <w:bCs/>
          <w:color w:val="auto"/>
        </w:rPr>
        <w:br w:type="textWrapping"/>
      </w:r>
    </w:p>
    <w:p>
      <w:pPr>
        <w:spacing w:line="360" w:lineRule="auto"/>
        <w:jc w:val="both"/>
        <w:rPr>
          <w:rFonts w:ascii="Times New Roman" w:hAnsi="Times New Roman" w:cs="Times New Roman"/>
        </w:rPr>
      </w:pPr>
      <w:r>
        <w:rPr>
          <w:rFonts w:ascii="Times New Roman" w:hAnsi="Times New Roman" w:cs="Times New Roman"/>
        </w:rPr>
        <w:t xml:space="preserve">Variable dependiente: Respuesta al tratamiento  </w:t>
      </w:r>
    </w:p>
    <w:p>
      <w:pPr>
        <w:spacing w:line="360" w:lineRule="auto"/>
        <w:jc w:val="both"/>
        <w:rPr>
          <w:rFonts w:ascii="Times New Roman" w:hAnsi="Times New Roman" w:cs="Times New Roman"/>
        </w:rPr>
      </w:pPr>
      <w:r>
        <w:rPr>
          <w:rFonts w:ascii="Times New Roman" w:hAnsi="Times New Roman" w:cs="Times New Roman"/>
        </w:rPr>
        <w:t xml:space="preserve">Variables independientes: Nivel de conocimiento de anemia ferropénica, edad materna, estado civil de la madre, grado de instrucción de la madre, sexo del paciente, rango de edad de paciente. </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pStyle w:val="2"/>
        <w:rPr>
          <w:rFonts w:ascii="Times New Roman" w:hAnsi="Times New Roman" w:cs="Times New Roman"/>
          <w:b/>
          <w:bCs/>
          <w:color w:val="auto"/>
          <w:sz w:val="24"/>
          <w:szCs w:val="24"/>
        </w:rPr>
      </w:pPr>
      <w:bookmarkStart w:id="26" w:name="_Toc145737802"/>
      <w:r>
        <w:rPr>
          <w:rFonts w:ascii="Times New Roman" w:hAnsi="Times New Roman" w:cs="Times New Roman"/>
          <w:b/>
          <w:bCs/>
          <w:color w:val="auto"/>
          <w:sz w:val="24"/>
          <w:szCs w:val="24"/>
        </w:rPr>
        <w:t>CAPITULO IV: METODOLOGÍA</w:t>
      </w:r>
      <w:bookmarkEnd w:id="26"/>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br w:type="textWrapping"/>
      </w:r>
    </w:p>
    <w:p>
      <w:pPr>
        <w:pStyle w:val="3"/>
        <w:rPr>
          <w:rFonts w:ascii="Times New Roman" w:hAnsi="Times New Roman" w:cs="Times New Roman"/>
          <w:b/>
          <w:bCs/>
          <w:color w:val="auto"/>
          <w:sz w:val="24"/>
          <w:szCs w:val="24"/>
        </w:rPr>
      </w:pPr>
      <w:bookmarkStart w:id="27" w:name="_Toc145737803"/>
      <w:r>
        <w:rPr>
          <w:rFonts w:ascii="Times New Roman" w:hAnsi="Times New Roman" w:cs="Times New Roman"/>
          <w:b/>
          <w:bCs/>
          <w:color w:val="auto"/>
          <w:sz w:val="24"/>
          <w:szCs w:val="24"/>
        </w:rPr>
        <w:t>4.1. TIPO Y DISEÑO DE INVESTIGACIÓN</w:t>
      </w:r>
      <w:bookmarkEnd w:id="27"/>
    </w:p>
    <w:p>
      <w:pPr>
        <w:pStyle w:val="26"/>
      </w:pPr>
    </w:p>
    <w:p>
      <w:pPr>
        <w:pStyle w:val="26"/>
        <w:spacing w:line="360" w:lineRule="auto"/>
        <w:jc w:val="both"/>
        <w:rPr>
          <w:rFonts w:ascii="Times New Roman" w:hAnsi="Times New Roman" w:cs="Times New Roman"/>
        </w:rPr>
      </w:pPr>
      <w:r>
        <w:rPr>
          <w:rFonts w:ascii="Times New Roman" w:hAnsi="Times New Roman" w:cs="Times New Roman"/>
        </w:rPr>
        <w:t>De acuerdo con el enfoque se realizó un estudio cuantitativo, en relación al alcance se realizó un estudio transversal de tipo descriptivo, ya que se analizó la asociación entre dos grupos de pacientes tratando de hallar una relación causa-efecto, en relación a la proyección, es de proyección retrospectiva, puesto se revisaron datos del pasado; observacional, ya que se no presentó intervención ni manipulación de variables.</w:t>
      </w:r>
    </w:p>
    <w:p>
      <w:pPr>
        <w:pStyle w:val="26"/>
        <w:spacing w:line="360" w:lineRule="auto"/>
        <w:jc w:val="both"/>
        <w:rPr>
          <w:rFonts w:ascii="Times New Roman" w:hAnsi="Times New Roman" w:cs="Times New Roman"/>
        </w:rPr>
      </w:pPr>
    </w:p>
    <w:p>
      <w:pPr>
        <w:pStyle w:val="3"/>
        <w:rPr>
          <w:rFonts w:ascii="Times New Roman" w:hAnsi="Times New Roman" w:cs="Times New Roman"/>
          <w:b/>
          <w:bCs/>
          <w:color w:val="auto"/>
          <w:sz w:val="24"/>
          <w:szCs w:val="24"/>
        </w:rPr>
      </w:pPr>
      <w:bookmarkStart w:id="28" w:name="_Toc145737804"/>
      <w:r>
        <w:rPr>
          <w:rFonts w:ascii="Times New Roman" w:hAnsi="Times New Roman" w:cs="Times New Roman"/>
          <w:b/>
          <w:bCs/>
          <w:color w:val="auto"/>
          <w:sz w:val="24"/>
          <w:szCs w:val="24"/>
        </w:rPr>
        <w:t>4.2. POBLACIÓN Y MUESTRA</w:t>
      </w:r>
      <w:bookmarkEnd w:id="28"/>
    </w:p>
    <w:p/>
    <w:p>
      <w:pPr>
        <w:spacing w:line="360" w:lineRule="auto"/>
        <w:jc w:val="both"/>
        <w:rPr>
          <w:rFonts w:ascii="Times New Roman" w:hAnsi="Times New Roman" w:eastAsia="Arial" w:cs="Times New Roman"/>
          <w:b/>
          <w:bCs/>
          <w:color w:val="000000" w:themeColor="text1"/>
          <w:lang w:val="es-MX"/>
          <w14:textFill>
            <w14:solidFill>
              <w14:schemeClr w14:val="tx1"/>
            </w14:solidFill>
          </w14:textFill>
        </w:rPr>
      </w:pPr>
      <w:r>
        <w:rPr>
          <w:rFonts w:ascii="Times New Roman" w:hAnsi="Times New Roman" w:eastAsia="Arial" w:cs="Times New Roman"/>
          <w:b/>
          <w:bCs/>
          <w:color w:val="000000" w:themeColor="text1"/>
          <w:lang w:val="es-MX"/>
          <w14:textFill>
            <w14:solidFill>
              <w14:schemeClr w14:val="tx1"/>
            </w14:solidFill>
          </w14:textFill>
        </w:rPr>
        <w:t>Población:</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Madres de pacientes con Anemia Ferropénica del servicio de anemia en el </w:t>
      </w:r>
      <w:r>
        <w:rPr>
          <w:rFonts w:ascii="Times New Roman" w:hAnsi="Times New Roman" w:eastAsia="Arial" w:cs="Times New Roman"/>
          <w:color w:val="000000" w:themeColor="text1"/>
          <w14:textFill>
            <w14:solidFill>
              <w14:schemeClr w14:val="tx1"/>
            </w14:solidFill>
          </w14:textFill>
        </w:rPr>
        <w:t>en el Centro Materno Infantil Villa María del Triunfo entre Mayo y Noviembre del 2021</w:t>
      </w:r>
    </w:p>
    <w:p>
      <w:pPr>
        <w:pStyle w:val="4"/>
        <w:spacing w:before="240" w:after="60" w:line="360" w:lineRule="auto"/>
        <w:jc w:val="both"/>
        <w:rPr>
          <w:rFonts w:ascii="Times New Roman" w:hAnsi="Times New Roman" w:eastAsia="Arial" w:cs="Times New Roman"/>
          <w:b/>
          <w:bCs/>
          <w:color w:val="000000" w:themeColor="text1"/>
          <w14:textFill>
            <w14:solidFill>
              <w14:schemeClr w14:val="tx1"/>
            </w14:solidFill>
          </w14:textFill>
        </w:rPr>
      </w:pPr>
      <w:bookmarkStart w:id="29" w:name="_Toc1752856263"/>
      <w:bookmarkStart w:id="30" w:name="_Toc145737805"/>
      <w:r>
        <w:rPr>
          <w:rFonts w:ascii="Times New Roman" w:hAnsi="Times New Roman" w:eastAsia="Arial" w:cs="Times New Roman"/>
          <w:b/>
          <w:bCs/>
          <w:color w:val="000000" w:themeColor="text1"/>
          <w:lang w:val="es-MX"/>
          <w14:textFill>
            <w14:solidFill>
              <w14:schemeClr w14:val="tx1"/>
            </w14:solidFill>
          </w14:textFill>
        </w:rPr>
        <w:t>Tamaño muestral:</w:t>
      </w:r>
      <w:bookmarkEnd w:id="29"/>
      <w:bookmarkEnd w:id="30"/>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 xml:space="preserve">Para el cálculo del tamaño muestral se empleó la calculadora de muestra Sample Size_INICIB del 2019, donde se realizó el cálculo en relación con el diseño de estudio transversal analítico, con un nivel de confianza al 95%. Se obtuvo como tamaño de la muestra un total de 169 madres encuestadas. </w:t>
      </w:r>
    </w:p>
    <w:p>
      <w:pPr>
        <w:spacing w:line="360" w:lineRule="auto"/>
        <w:jc w:val="both"/>
        <w:rPr>
          <w:rFonts w:ascii="Times New Roman" w:hAnsi="Times New Roman" w:eastAsia="Arial" w:cs="Times New Roman"/>
          <w:color w:val="000000" w:themeColor="text1"/>
          <w:lang w:val="es-MX"/>
          <w14:textFill>
            <w14:solidFill>
              <w14:schemeClr w14:val="tx1"/>
            </w14:solidFill>
          </w14:textFill>
        </w:rPr>
      </w:pP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Arial" w:hAnsi="Arial" w:cs="Arial"/>
        </w:rPr>
        <w:drawing>
          <wp:anchor distT="0" distB="0" distL="114300" distR="114300" simplePos="0" relativeHeight="251659264" behindDoc="1" locked="0" layoutInCell="1" allowOverlap="1">
            <wp:simplePos x="0" y="0"/>
            <wp:positionH relativeFrom="margin">
              <wp:posOffset>658495</wp:posOffset>
            </wp:positionH>
            <wp:positionV relativeFrom="paragraph">
              <wp:posOffset>13970</wp:posOffset>
            </wp:positionV>
            <wp:extent cx="4429125" cy="2667000"/>
            <wp:effectExtent l="0" t="0" r="0" b="635"/>
            <wp:wrapNone/>
            <wp:docPr id="1468546519" name="Imagen 146854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46519" name="Imagen 1468546519"/>
                    <pic:cNvPicPr>
                      <a:picLocks noChangeAspect="1"/>
                    </pic:cNvPicPr>
                  </pic:nvPicPr>
                  <pic:blipFill>
                    <a:blip r:embed="rId15">
                      <a:extLst>
                        <a:ext uri="{28A0092B-C50C-407E-A947-70E740481C1C}">
                          <a14:useLocalDpi xmlns:a14="http://schemas.microsoft.com/office/drawing/2010/main" val="0"/>
                        </a:ext>
                      </a:extLst>
                    </a:blip>
                    <a:srcRect l="6386" t="3846" r="3613" b="6390"/>
                    <a:stretch>
                      <a:fillRect/>
                    </a:stretch>
                  </pic:blipFill>
                  <pic:spPr>
                    <a:xfrm>
                      <a:off x="0" y="0"/>
                      <a:ext cx="4429125" cy="2666758"/>
                    </a:xfrm>
                    <a:prstGeom prst="rect">
                      <a:avLst/>
                    </a:prstGeom>
                    <a:ln>
                      <a:noFill/>
                    </a:ln>
                  </pic:spPr>
                </pic:pic>
              </a:graphicData>
            </a:graphic>
          </wp:anchor>
        </w:drawing>
      </w:r>
      <w:r>
        <w:rPr>
          <w:rFonts w:ascii="Times New Roman" w:hAnsi="Times New Roman" w:eastAsia="Arial" w:cs="Times New Roman"/>
          <w:color w:val="000000" w:themeColor="text1"/>
          <w:lang w:val="es-MX"/>
          <w14:textFill>
            <w14:solidFill>
              <w14:schemeClr w14:val="tx1"/>
            </w14:solidFill>
          </w14:textFill>
        </w:rPr>
        <w:t xml:space="preserve"> </w:t>
      </w:r>
    </w:p>
    <w:p/>
    <w:p/>
    <w:p/>
    <w:p>
      <w:pPr>
        <w:pStyle w:val="26"/>
      </w:pPr>
    </w:p>
    <w:p>
      <w:pPr>
        <w:pStyle w:val="26"/>
      </w:pPr>
    </w:p>
    <w:p>
      <w:pPr>
        <w:pStyle w:val="26"/>
      </w:pPr>
    </w:p>
    <w:p>
      <w:pPr>
        <w:pStyle w:val="26"/>
      </w:pPr>
    </w:p>
    <w:p>
      <w:pPr>
        <w:pStyle w:val="26"/>
      </w:pPr>
    </w:p>
    <w:p>
      <w:pPr>
        <w:pStyle w:val="26"/>
      </w:pPr>
    </w:p>
    <w:p>
      <w:pPr>
        <w:pStyle w:val="26"/>
      </w:pPr>
    </w:p>
    <w:p>
      <w:pPr>
        <w:pStyle w:val="26"/>
      </w:pPr>
    </w:p>
    <w:p>
      <w:pPr>
        <w:pStyle w:val="26"/>
        <w:spacing w:line="360" w:lineRule="auto"/>
      </w:pPr>
    </w:p>
    <w:p>
      <w:pPr>
        <w:pStyle w:val="26"/>
        <w:spacing w:line="360" w:lineRule="auto"/>
      </w:pPr>
    </w:p>
    <w:p>
      <w:pPr>
        <w:pStyle w:val="26"/>
        <w:spacing w:line="360" w:lineRule="auto"/>
      </w:pPr>
    </w:p>
    <w:p>
      <w:pPr>
        <w:spacing w:line="360" w:lineRule="auto"/>
        <w:jc w:val="both"/>
        <w:rPr>
          <w:rFonts w:ascii="Times New Roman" w:hAnsi="Times New Roman" w:cs="Times New Roman"/>
        </w:rPr>
      </w:pPr>
      <w:r>
        <w:rPr>
          <w:rFonts w:ascii="Times New Roman" w:hAnsi="Times New Roman" w:cs="Times New Roman"/>
          <w:b/>
          <w:bCs/>
        </w:rPr>
        <w:t>Tipo de muestreo:</w:t>
      </w:r>
      <w:r>
        <w:rPr>
          <w:rFonts w:ascii="Times New Roman" w:hAnsi="Times New Roman" w:cs="Times New Roman"/>
        </w:rPr>
        <w:t xml:space="preserve"> </w:t>
      </w:r>
    </w:p>
    <w:p>
      <w:pPr>
        <w:spacing w:line="360" w:lineRule="auto"/>
        <w:jc w:val="both"/>
        <w:rPr>
          <w:rFonts w:ascii="Times New Roman" w:hAnsi="Times New Roman" w:eastAsia="Arial" w:cs="Times New Roman"/>
          <w:color w:val="000000" w:themeColor="text1"/>
          <w14:textFill>
            <w14:solidFill>
              <w14:schemeClr w14:val="tx1"/>
            </w14:solidFill>
          </w14:textFill>
        </w:rPr>
      </w:pPr>
      <w:r>
        <w:rPr>
          <w:rFonts w:ascii="Times New Roman" w:hAnsi="Times New Roman" w:eastAsia="Arial" w:cs="Times New Roman"/>
          <w:color w:val="000000" w:themeColor="text1"/>
          <w:lang w:val="es-MX"/>
          <w14:textFill>
            <w14:solidFill>
              <w14:schemeClr w14:val="tx1"/>
            </w14:solidFill>
          </w14:textFill>
        </w:rPr>
        <w:t>Se realizó un muestreo probabilístico aleatorio simple</w:t>
      </w:r>
    </w:p>
    <w:p>
      <w:pPr>
        <w:pStyle w:val="3"/>
        <w:rPr>
          <w:rFonts w:ascii="Times New Roman" w:hAnsi="Times New Roman" w:cs="Times New Roman"/>
          <w:b/>
          <w:bCs/>
          <w:color w:val="auto"/>
          <w:sz w:val="24"/>
          <w:szCs w:val="24"/>
        </w:rPr>
      </w:pPr>
      <w:bookmarkStart w:id="31" w:name="_Toc145737806"/>
      <w:r>
        <w:rPr>
          <w:rFonts w:ascii="Times New Roman" w:hAnsi="Times New Roman" w:cs="Times New Roman"/>
          <w:b/>
          <w:bCs/>
          <w:color w:val="auto"/>
          <w:sz w:val="24"/>
          <w:szCs w:val="24"/>
        </w:rPr>
        <w:t>4.3. OPERACIONALIZACION DE VARIABLES</w:t>
      </w:r>
      <w:bookmarkEnd w:id="31"/>
    </w:p>
    <w:p/>
    <w:tbl>
      <w:tblPr>
        <w:tblStyle w:val="6"/>
        <w:tblW w:w="11199" w:type="dxa"/>
        <w:tblInd w:w="-1142" w:type="dxa"/>
        <w:tblLayout w:type="fixed"/>
        <w:tblCellMar>
          <w:top w:w="0" w:type="dxa"/>
          <w:left w:w="108" w:type="dxa"/>
          <w:bottom w:w="0" w:type="dxa"/>
          <w:right w:w="108" w:type="dxa"/>
        </w:tblCellMar>
      </w:tblPr>
      <w:tblGrid>
        <w:gridCol w:w="1521"/>
        <w:gridCol w:w="1740"/>
        <w:gridCol w:w="2126"/>
        <w:gridCol w:w="1701"/>
        <w:gridCol w:w="1276"/>
        <w:gridCol w:w="2835"/>
      </w:tblGrid>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Variable</w:t>
            </w:r>
          </w:p>
        </w:tc>
        <w:tc>
          <w:tcPr>
            <w:tcW w:w="174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Definición conceptual</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Definición operacional</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Tipo de Variable, Relación y naturaleza</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Escala de medición</w:t>
            </w:r>
          </w:p>
        </w:tc>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Categoría o Unidad</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Edad</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Cantidad de años transcurridos desde el nacimiento de una persona</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Años de la madre indicados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 xml:space="preserve"> Independiente, Cuantitativa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De razón</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Edad del paciente</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Estado Civil </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Condición de una persona según el registro civil</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Estado civil de la madre indicado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Soltero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1: Casado </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Divorciado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 Conviviente</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de Instrucción</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más elevado de estudios realizados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de instrucción de la madre indicado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0:Sin Instrucción</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1:Primaria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2:Primaria Incompleta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3:Secundaria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4:Secundaria Incompleta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5:Técnico completo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6:Técnico incompleto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7:Universitaria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8:Universitaria Incompleta</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Sexo</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Condición orgánica que distingue a las mujeres y hombres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Genero indicado en la historia clínica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0: Femenino</w:t>
            </w:r>
          </w:p>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1: Masculino</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 en meses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 de acuerdo a la edad en meses indicado en la historia clinica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Ordinal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6-11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12-17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18-23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 24-29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4: 30-36 meses</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Nivel de conocimiento sobre anemia ferropénica</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Nivel de Conocimientos sobre el Diagnóstico y Tratamiento de la. Anemia</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Valoración del nivel de conocimiento de acuerdo con el cuestionario aplicado a las madres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Bajo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Medio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Alto</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Respuesta al tratamiento</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Dosaje de hemoglibina en niveles normales al final del tratamiento </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Valoración del ultimo dosaje de hemoglobina en relación al primerio posterior al tratamiento recopilado de la historia clinica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Dependiente,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Sin respuesta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Buena respuesta</w:t>
            </w:r>
          </w:p>
        </w:tc>
      </w:tr>
    </w:tbl>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bookmarkStart w:id="32" w:name="_Toc145737807"/>
      <w:r>
        <w:rPr>
          <w:rFonts w:ascii="Times New Roman" w:hAnsi="Times New Roman" w:cs="Times New Roman"/>
          <w:b/>
          <w:bCs/>
          <w:color w:val="auto"/>
          <w:sz w:val="24"/>
          <w:szCs w:val="24"/>
        </w:rPr>
        <w:t>4.4. TÉCNICAS E INSTRUMENTOS DE RECOLECCIÓN DE DATOS</w:t>
      </w:r>
      <w:bookmarkEnd w:id="32"/>
    </w:p>
    <w:p>
      <w:pPr>
        <w:pStyle w:val="26"/>
      </w:pPr>
    </w:p>
    <w:p>
      <w:pPr>
        <w:spacing w:line="360" w:lineRule="auto"/>
        <w:jc w:val="both"/>
      </w:pPr>
      <w:r>
        <w:rPr>
          <w:rFonts w:ascii="Times New Roman" w:hAnsi="Times New Roman" w:eastAsia="Arial" w:cs="Times New Roman"/>
          <w:color w:val="000000" w:themeColor="text1"/>
          <w:lang w:val="es-MX"/>
          <w14:textFill>
            <w14:solidFill>
              <w14:schemeClr w14:val="tx1"/>
            </w14:solidFill>
          </w14:textFill>
        </w:rPr>
        <w:t>Para le elaboración del presente trabajo, se identificó a la población con diagnóstico de anemia ferropénica mediante la búsqueda de historias clínicas y registros médicos, además se realizó una encuesta la cuál incluyó un cuestionario sobre el nivel de conocimiento de anemia ferropénica, se empleó un cuestionario validado y los datos se recopilaron en el programa de Google Forms. Posteriormente los datos fueron exportados a una ficha de recolección de datos.</w:t>
      </w:r>
    </w:p>
    <w:p>
      <w:pPr>
        <w:pStyle w:val="3"/>
        <w:rPr>
          <w:rFonts w:ascii="Times New Roman" w:hAnsi="Times New Roman" w:cs="Times New Roman"/>
          <w:b/>
          <w:bCs/>
        </w:rPr>
      </w:pPr>
      <w:bookmarkStart w:id="33" w:name="_Toc145737808"/>
      <w:r>
        <w:rPr>
          <w:rFonts w:ascii="Times New Roman" w:hAnsi="Times New Roman" w:cs="Times New Roman"/>
          <w:b/>
          <w:bCs/>
          <w:color w:val="auto"/>
          <w:sz w:val="24"/>
          <w:szCs w:val="24"/>
        </w:rPr>
        <w:t>4.5. RECOLECCIÓN DE DATOS</w:t>
      </w:r>
      <w:bookmarkEnd w:id="33"/>
    </w:p>
    <w:p>
      <w:pPr>
        <w:pStyle w:val="26"/>
      </w:pPr>
    </w:p>
    <w:p>
      <w:pPr>
        <w:pStyle w:val="26"/>
        <w:spacing w:line="360" w:lineRule="auto"/>
        <w:jc w:val="both"/>
        <w:rPr>
          <w:rFonts w:ascii="Times New Roman" w:hAnsi="Times New Roman" w:cs="Times New Roman"/>
        </w:rPr>
      </w:pPr>
      <w:r>
        <w:rPr>
          <w:rFonts w:ascii="Times New Roman" w:hAnsi="Times New Roman" w:cs="Times New Roman"/>
        </w:rPr>
        <w:t>Los datos recolectados fueron exportados al programa de Microsoft Excel, donde se realizó el cálculo de las respuestas del cuestionario para la clasificación del nivel de conocimiento. Finalmente, los datos recolectados fueron importados al programa STATA v.16 para la evaluación y el análisis de los resultados.</w:t>
      </w:r>
    </w:p>
    <w:p>
      <w:pPr>
        <w:pStyle w:val="3"/>
        <w:rPr>
          <w:rFonts w:ascii="Times New Roman" w:hAnsi="Times New Roman" w:cs="Times New Roman"/>
          <w:b/>
          <w:bCs/>
          <w:color w:val="auto"/>
          <w:sz w:val="24"/>
          <w:szCs w:val="24"/>
        </w:rPr>
      </w:pPr>
      <w:bookmarkStart w:id="34" w:name="_Toc145737809"/>
      <w:r>
        <w:rPr>
          <w:rFonts w:ascii="Times New Roman" w:hAnsi="Times New Roman" w:cs="Times New Roman"/>
          <w:b/>
          <w:bCs/>
          <w:color w:val="auto"/>
          <w:sz w:val="24"/>
          <w:szCs w:val="24"/>
        </w:rPr>
        <w:t>4.6. TÉCNICA DE PROCESAMIENTO Y ANÁLISIS DE DATOS</w:t>
      </w:r>
      <w:bookmarkEnd w:id="34"/>
    </w:p>
    <w:p>
      <w:pPr>
        <w:pStyle w:val="26"/>
      </w:pPr>
    </w:p>
    <w:p>
      <w:pPr>
        <w:pStyle w:val="26"/>
        <w:spacing w:line="360" w:lineRule="auto"/>
        <w:jc w:val="both"/>
        <w:rPr>
          <w:rFonts w:ascii="Times New Roman" w:hAnsi="Times New Roman" w:cs="Times New Roman"/>
        </w:rPr>
      </w:pPr>
      <w:r>
        <w:rPr>
          <w:rFonts w:ascii="Times New Roman" w:hAnsi="Times New Roman" w:cs="Times New Roman"/>
        </w:rPr>
        <w:t xml:space="preserve">Los datos obtenidos de la ficha de recolección de datos fueron tabulados primeramente en el programa de Microsoft Excel, para después ser analizados en el programa STATA V.16,  donde se realizaron los gráficos y tablas correspondientes; para el análisis de los datos se elaboró primeramente un análisis descriptivo de las variables a estudiar, posteriormente se realizó un análisis bivariado y cálculo de chi2 para identificar a las variables que muestran asociación significativa considerando un valor de chi2 &lt;0.005, después se llevó a cabo el análisis mediante la Regresión de Poisson y la medida de asociación Razón de Prevalencia (RP), con un valor de p &lt;0.005 para considerarse significativo y un intervalo de confianza (IC) al 95% el cuál no incluyera la unidad. </w:t>
      </w:r>
    </w:p>
    <w:p>
      <w:pPr>
        <w:pStyle w:val="26"/>
      </w:pPr>
    </w:p>
    <w:p>
      <w:pPr>
        <w:pStyle w:val="3"/>
        <w:rPr>
          <w:rFonts w:ascii="Times New Roman" w:hAnsi="Times New Roman" w:cs="Times New Roman"/>
          <w:b/>
          <w:bCs/>
          <w:color w:val="auto"/>
          <w:sz w:val="24"/>
          <w:szCs w:val="24"/>
        </w:rPr>
      </w:pPr>
      <w:bookmarkStart w:id="35" w:name="_Toc145737810"/>
      <w:r>
        <w:rPr>
          <w:rFonts w:ascii="Times New Roman" w:hAnsi="Times New Roman" w:cs="Times New Roman"/>
          <w:b/>
          <w:bCs/>
          <w:color w:val="auto"/>
          <w:sz w:val="24"/>
          <w:szCs w:val="24"/>
        </w:rPr>
        <w:t>4.7. ASPECTOS ÉTICOS</w:t>
      </w:r>
      <w:bookmarkEnd w:id="35"/>
      <w:r>
        <w:rPr>
          <w:rFonts w:ascii="Times New Roman" w:hAnsi="Times New Roman" w:cs="Times New Roman"/>
          <w:b/>
          <w:bCs/>
          <w:color w:val="auto"/>
          <w:sz w:val="24"/>
          <w:szCs w:val="24"/>
        </w:rPr>
        <w:br w:type="textWrapping"/>
      </w:r>
    </w:p>
    <w:p>
      <w:pPr>
        <w:spacing w:line="360" w:lineRule="auto"/>
        <w:jc w:val="both"/>
        <w:rPr>
          <w:rFonts w:ascii="Times New Roman" w:hAnsi="Times New Roman" w:cs="Times New Roman"/>
        </w:rPr>
      </w:pPr>
      <w:r>
        <w:rPr>
          <w:rFonts w:ascii="Times New Roman" w:hAnsi="Times New Roman" w:cs="Times New Roman"/>
        </w:rPr>
        <w:t xml:space="preserve">Para la realización del presente trabajo de investigación se utilizaron historias clínicas y registros médicos además de realizar una encuesta por llamada telefónica de tal modo que fue necesario un consentimiento informado. Se solicitó el permiso institucional al área de Anemia del Centro Materno Infantil Villa María del Triunfo. Además, el presente estudio fue revisado por el comité de ética de la Universidad Ricardo Palma para su elaboración. </w:t>
      </w:r>
    </w:p>
    <w:p>
      <w:pPr>
        <w:spacing w:line="360" w:lineRule="auto"/>
        <w:jc w:val="both"/>
        <w:rPr>
          <w:rFonts w:ascii="Times New Roman" w:hAnsi="Times New Roman" w:cs="Times New Roman"/>
        </w:rPr>
      </w:pPr>
    </w:p>
    <w:p>
      <w:pPr>
        <w:pStyle w:val="2"/>
        <w:rPr>
          <w:rFonts w:ascii="Times New Roman" w:hAnsi="Times New Roman" w:cs="Times New Roman"/>
          <w:b/>
          <w:bCs/>
          <w:color w:val="auto"/>
          <w:sz w:val="24"/>
          <w:szCs w:val="24"/>
        </w:rPr>
      </w:pPr>
      <w:bookmarkStart w:id="36" w:name="_Toc145737811"/>
      <w:r>
        <w:rPr>
          <w:rFonts w:ascii="Times New Roman" w:hAnsi="Times New Roman" w:cs="Times New Roman"/>
          <w:b/>
          <w:bCs/>
          <w:color w:val="auto"/>
          <w:sz w:val="24"/>
          <w:szCs w:val="24"/>
        </w:rPr>
        <w:t>CAPITULO V: RESULTADOS Y DISCUSIÓN</w:t>
      </w:r>
      <w:bookmarkEnd w:id="36"/>
    </w:p>
    <w:p>
      <w:pPr>
        <w:pStyle w:val="26"/>
      </w:pPr>
    </w:p>
    <w:p>
      <w:pPr>
        <w:pStyle w:val="3"/>
        <w:rPr>
          <w:rFonts w:ascii="Times New Roman" w:hAnsi="Times New Roman" w:cs="Times New Roman"/>
          <w:b/>
          <w:bCs/>
          <w:color w:val="auto"/>
          <w:sz w:val="24"/>
          <w:szCs w:val="24"/>
        </w:rPr>
      </w:pPr>
      <w:bookmarkStart w:id="37" w:name="_Toc145737812"/>
      <w:r>
        <w:rPr>
          <w:rFonts w:ascii="Times New Roman" w:hAnsi="Times New Roman" w:cs="Times New Roman"/>
          <w:b/>
          <w:bCs/>
          <w:color w:val="auto"/>
          <w:sz w:val="24"/>
          <w:szCs w:val="24"/>
        </w:rPr>
        <w:t>5.1. RESULTADOS</w:t>
      </w:r>
      <w:bookmarkEnd w:id="37"/>
    </w:p>
    <w:p>
      <w:pPr>
        <w:pStyle w:val="26"/>
      </w:pPr>
    </w:p>
    <w:p>
      <w:pPr>
        <w:pStyle w:val="26"/>
        <w:spacing w:line="360" w:lineRule="auto"/>
        <w:jc w:val="both"/>
        <w:rPr>
          <w:rFonts w:ascii="Times New Roman" w:hAnsi="Times New Roman" w:cs="Times New Roman"/>
        </w:rPr>
      </w:pPr>
      <w:r>
        <w:rPr>
          <w:rFonts w:ascii="Times New Roman" w:hAnsi="Times New Roman" w:cs="Times New Roman"/>
        </w:rPr>
        <w:t>En la Tabla 1 se describen las frecuencias y porcentajes de las variables estudiadas, resaltando que la mediana de edad de la madre fue de 25 años, el 30% (n=51) de madres tenía como estado civil soltero, el 27.22% (n=46) de madres tenía un grado de instrucción secundaria completa. Con respecto a los pacientes con anemia el 55.03% (n=93) eran de sexo masculino y el 44.97% (n=76) eran de sexo femenino, el rango de edad que predomino fue de 12 a 17 meses en un 24.85% (n= 42) y 18 a 23 meses con el mismo porcentaje.</w:t>
      </w:r>
    </w:p>
    <w:p>
      <w:pPr>
        <w:pStyle w:val="26"/>
      </w:pPr>
    </w:p>
    <w:p>
      <w:pPr>
        <w:spacing w:line="360" w:lineRule="auto"/>
        <w:jc w:val="both"/>
        <w:rPr>
          <w:rFonts w:ascii="Times New Roman" w:hAnsi="Times New Roman" w:cs="Times New Roman"/>
          <w:b/>
          <w:bCs/>
        </w:rPr>
      </w:pPr>
      <w:r>
        <w:rPr>
          <w:rFonts w:ascii="Times New Roman" w:hAnsi="Times New Roman" w:cs="Times New Roman"/>
          <w:b/>
          <w:bCs/>
        </w:rPr>
        <w:t xml:space="preserve">Tabla 1. Análisis descriptivo de las madres encuestadas y pacientes con anemia atendidos en el Centro Materno Infantil Villa María del Triunfo en el contexto COVID-19 entre Mayo a Noviembre del 2021. </w:t>
      </w:r>
    </w:p>
    <w:p>
      <w:pPr>
        <w:jc w:val="both"/>
        <w:rPr>
          <w:rFonts w:ascii="Times New Roman" w:hAnsi="Times New Roman" w:cs="Times New Roman"/>
          <w:b/>
          <w:bCs/>
        </w:rPr>
      </w:pPr>
    </w:p>
    <w:tbl>
      <w:tblPr>
        <w:tblStyle w:val="11"/>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5"/>
        <w:gridCol w:w="2828"/>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865" w:type="dxa"/>
          </w:tcPr>
          <w:p>
            <w:pPr>
              <w:spacing w:line="256" w:lineRule="auto"/>
              <w:rPr>
                <w:rFonts w:ascii="Times New Roman" w:hAnsi="Times New Roman" w:cs="Times New Roman"/>
                <w:b/>
                <w:sz w:val="22"/>
                <w:szCs w:val="22"/>
              </w:rPr>
            </w:pPr>
            <w:r>
              <w:rPr>
                <w:rFonts w:ascii="Times New Roman" w:hAnsi="Times New Roman" w:cs="Times New Roman"/>
                <w:b/>
                <w:sz w:val="22"/>
                <w:szCs w:val="22"/>
              </w:rPr>
              <w:t>Variables</w:t>
            </w:r>
          </w:p>
        </w:tc>
        <w:tc>
          <w:tcPr>
            <w:tcW w:w="2828" w:type="dxa"/>
          </w:tcPr>
          <w:p>
            <w:pPr>
              <w:spacing w:line="256" w:lineRule="auto"/>
              <w:jc w:val="center"/>
              <w:rPr>
                <w:rFonts w:ascii="Times New Roman" w:hAnsi="Times New Roman" w:cs="Times New Roman"/>
                <w:b/>
                <w:sz w:val="22"/>
                <w:szCs w:val="22"/>
              </w:rPr>
            </w:pPr>
            <w:r>
              <w:rPr>
                <w:rFonts w:ascii="Times New Roman" w:hAnsi="Times New Roman" w:cs="Times New Roman"/>
                <w:b/>
                <w:sz w:val="22"/>
                <w:szCs w:val="22"/>
              </w:rPr>
              <w:t>Frecuencia</w:t>
            </w:r>
          </w:p>
        </w:tc>
        <w:tc>
          <w:tcPr>
            <w:tcW w:w="2388" w:type="dxa"/>
          </w:tcPr>
          <w:p>
            <w:pPr>
              <w:spacing w:line="256" w:lineRule="auto"/>
              <w:jc w:val="center"/>
              <w:rPr>
                <w:rFonts w:ascii="Times New Roman" w:hAnsi="Times New Roman" w:cs="Times New Roman"/>
                <w:b/>
                <w:sz w:val="22"/>
                <w:szCs w:val="22"/>
              </w:rPr>
            </w:pPr>
            <w:r>
              <w:rPr>
                <w:rFonts w:ascii="Times New Roman" w:hAnsi="Times New Roman" w:cs="Times New Roman"/>
                <w:b/>
                <w:sz w:val="22"/>
                <w:szCs w:val="22"/>
              </w:rPr>
              <w:t>Porcentaje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865" w:type="dxa"/>
          </w:tcPr>
          <w:p>
            <w:pPr>
              <w:spacing w:line="256" w:lineRule="auto"/>
              <w:rPr>
                <w:rFonts w:ascii="Times New Roman" w:hAnsi="Times New Roman" w:cs="Times New Roman"/>
                <w:b/>
                <w:sz w:val="22"/>
                <w:szCs w:val="22"/>
              </w:rPr>
            </w:pPr>
            <w:r>
              <w:rPr>
                <w:rFonts w:ascii="Times New Roman" w:hAnsi="Times New Roman" w:cs="Times New Roman"/>
                <w:b/>
                <w:sz w:val="22"/>
                <w:szCs w:val="22"/>
              </w:rPr>
              <w:t>Edad de la madre(años)*</w:t>
            </w:r>
          </w:p>
        </w:tc>
        <w:tc>
          <w:tcPr>
            <w:tcW w:w="282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25</w:t>
            </w:r>
          </w:p>
        </w:tc>
        <w:tc>
          <w:tcPr>
            <w:tcW w:w="238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(21 – 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9081" w:type="dxa"/>
            <w:gridSpan w:val="3"/>
          </w:tcPr>
          <w:p>
            <w:pPr>
              <w:spacing w:line="256" w:lineRule="auto"/>
              <w:rPr>
                <w:rFonts w:ascii="Times New Roman" w:hAnsi="Times New Roman" w:cs="Times New Roman"/>
                <w:sz w:val="22"/>
                <w:szCs w:val="22"/>
              </w:rPr>
            </w:pPr>
            <w:r>
              <w:rPr>
                <w:rFonts w:ascii="Times New Roman" w:hAnsi="Times New Roman" w:cs="Times New Roman"/>
                <w:b/>
                <w:sz w:val="22"/>
                <w:szCs w:val="22"/>
              </w:rPr>
              <w:t>Estado Civil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65" w:type="dxa"/>
          </w:tcPr>
          <w:p>
            <w:pPr>
              <w:spacing w:line="256" w:lineRule="auto"/>
              <w:rPr>
                <w:rFonts w:ascii="Times New Roman" w:hAnsi="Times New Roman" w:cs="Times New Roman"/>
                <w:bCs/>
                <w:i/>
                <w:iCs/>
                <w:sz w:val="22"/>
                <w:szCs w:val="22"/>
              </w:rPr>
            </w:pPr>
            <w:r>
              <w:rPr>
                <w:rFonts w:ascii="Times New Roman" w:hAnsi="Times New Roman" w:cs="Times New Roman"/>
                <w:bCs/>
                <w:i/>
                <w:iCs/>
                <w:sz w:val="22"/>
                <w:szCs w:val="22"/>
              </w:rPr>
              <w:t xml:space="preserve">Soltero </w:t>
            </w:r>
          </w:p>
        </w:tc>
        <w:tc>
          <w:tcPr>
            <w:tcW w:w="282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51</w:t>
            </w:r>
          </w:p>
        </w:tc>
        <w:tc>
          <w:tcPr>
            <w:tcW w:w="238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30.18%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865" w:type="dxa"/>
          </w:tcPr>
          <w:p>
            <w:pPr>
              <w:spacing w:line="256" w:lineRule="auto"/>
              <w:rPr>
                <w:rFonts w:ascii="Times New Roman" w:hAnsi="Times New Roman" w:cs="Times New Roman"/>
                <w:bCs/>
                <w:i/>
                <w:iCs/>
                <w:sz w:val="22"/>
                <w:szCs w:val="22"/>
              </w:rPr>
            </w:pPr>
            <w:r>
              <w:rPr>
                <w:rFonts w:ascii="Times New Roman" w:hAnsi="Times New Roman" w:cs="Times New Roman"/>
                <w:bCs/>
                <w:i/>
                <w:iCs/>
                <w:sz w:val="22"/>
                <w:szCs w:val="22"/>
              </w:rPr>
              <w:t>Conviviente</w:t>
            </w:r>
          </w:p>
        </w:tc>
        <w:tc>
          <w:tcPr>
            <w:tcW w:w="282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47</w:t>
            </w:r>
          </w:p>
        </w:tc>
        <w:tc>
          <w:tcPr>
            <w:tcW w:w="238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27.81%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3865" w:type="dxa"/>
          </w:tcPr>
          <w:p>
            <w:pPr>
              <w:spacing w:line="256" w:lineRule="auto"/>
              <w:rPr>
                <w:rFonts w:ascii="Times New Roman" w:hAnsi="Times New Roman" w:cs="Times New Roman"/>
                <w:bCs/>
                <w:i/>
                <w:iCs/>
                <w:sz w:val="22"/>
                <w:szCs w:val="22"/>
              </w:rPr>
            </w:pPr>
            <w:r>
              <w:rPr>
                <w:rFonts w:ascii="Times New Roman" w:hAnsi="Times New Roman" w:cs="Times New Roman"/>
                <w:bCs/>
                <w:i/>
                <w:iCs/>
                <w:sz w:val="22"/>
                <w:szCs w:val="22"/>
              </w:rPr>
              <w:t>Casado</w:t>
            </w:r>
          </w:p>
        </w:tc>
        <w:tc>
          <w:tcPr>
            <w:tcW w:w="282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50</w:t>
            </w:r>
          </w:p>
        </w:tc>
        <w:tc>
          <w:tcPr>
            <w:tcW w:w="238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29.59%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865" w:type="dxa"/>
          </w:tcPr>
          <w:p>
            <w:pPr>
              <w:spacing w:line="256" w:lineRule="auto"/>
              <w:rPr>
                <w:rFonts w:ascii="Times New Roman" w:hAnsi="Times New Roman" w:cs="Times New Roman"/>
                <w:bCs/>
                <w:i/>
                <w:iCs/>
                <w:sz w:val="22"/>
                <w:szCs w:val="22"/>
              </w:rPr>
            </w:pPr>
            <w:r>
              <w:rPr>
                <w:rFonts w:ascii="Times New Roman" w:hAnsi="Times New Roman" w:cs="Times New Roman"/>
                <w:bCs/>
                <w:i/>
                <w:iCs/>
                <w:sz w:val="22"/>
                <w:szCs w:val="22"/>
              </w:rPr>
              <w:t xml:space="preserve">Divorciado </w:t>
            </w:r>
          </w:p>
        </w:tc>
        <w:tc>
          <w:tcPr>
            <w:tcW w:w="282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21</w:t>
            </w:r>
          </w:p>
        </w:tc>
        <w:tc>
          <w:tcPr>
            <w:tcW w:w="2388" w:type="dxa"/>
          </w:tcPr>
          <w:p>
            <w:pPr>
              <w:spacing w:line="256" w:lineRule="auto"/>
              <w:jc w:val="center"/>
              <w:rPr>
                <w:rFonts w:ascii="Times New Roman" w:hAnsi="Times New Roman" w:cs="Times New Roman"/>
                <w:sz w:val="22"/>
                <w:szCs w:val="22"/>
              </w:rPr>
            </w:pPr>
            <w:r>
              <w:rPr>
                <w:rFonts w:ascii="Times New Roman" w:hAnsi="Times New Roman" w:cs="Times New Roman"/>
                <w:sz w:val="22"/>
                <w:szCs w:val="22"/>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081" w:type="dxa"/>
            <w:gridSpan w:val="3"/>
          </w:tcPr>
          <w:p>
            <w:pPr>
              <w:spacing w:line="256" w:lineRule="auto"/>
              <w:rPr>
                <w:rFonts w:ascii="Times New Roman" w:hAnsi="Times New Roman" w:cs="Times New Roman"/>
                <w:b/>
                <w:sz w:val="22"/>
                <w:szCs w:val="22"/>
              </w:rPr>
            </w:pPr>
            <w:r>
              <w:rPr>
                <w:rFonts w:ascii="Times New Roman" w:hAnsi="Times New Roman" w:cs="Times New Roman"/>
                <w:b/>
                <w:sz w:val="22"/>
                <w:szCs w:val="22"/>
              </w:rPr>
              <w:t>Gado de instrucción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Sin Instrucción</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6</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Primaria 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9</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Primaria Incompleta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8</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Secundaria 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46</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27.22%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Secundaria Incompleta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16</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Técnico completo</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24</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Técnico incompleto</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22</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Universitaria 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15</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Universitaria Incompleta</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23</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081" w:type="dxa"/>
            <w:gridSpan w:val="3"/>
          </w:tcPr>
          <w:p>
            <w:pPr>
              <w:rPr>
                <w:rFonts w:ascii="Times New Roman" w:hAnsi="Times New Roman" w:cs="Times New Roman"/>
                <w:b/>
                <w:sz w:val="22"/>
                <w:szCs w:val="22"/>
              </w:rPr>
            </w:pPr>
            <w:r>
              <w:rPr>
                <w:rFonts w:ascii="Times New Roman" w:hAnsi="Times New Roman" w:cs="Times New Roman"/>
                <w:b/>
                <w:sz w:val="22"/>
                <w:szCs w:val="22"/>
              </w:rPr>
              <w:t>Sexo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Femenino</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76</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 xml:space="preserve">44.97%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865" w:type="dxa"/>
          </w:tcPr>
          <w:p>
            <w:pPr>
              <w:ind w:left="180"/>
              <w:rPr>
                <w:rFonts w:ascii="Times New Roman" w:hAnsi="Times New Roman" w:cs="Times New Roman"/>
                <w:bCs/>
                <w:i/>
                <w:iCs/>
                <w:sz w:val="22"/>
                <w:szCs w:val="22"/>
              </w:rPr>
            </w:pPr>
            <w:r>
              <w:rPr>
                <w:rFonts w:ascii="Times New Roman" w:hAnsi="Times New Roman" w:cs="Times New Roman"/>
                <w:bCs/>
                <w:i/>
                <w:iCs/>
                <w:sz w:val="22"/>
                <w:szCs w:val="22"/>
              </w:rPr>
              <w:t>Masculino</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93</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55.03%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081" w:type="dxa"/>
            <w:gridSpan w:val="3"/>
          </w:tcPr>
          <w:p>
            <w:pPr>
              <w:rPr>
                <w:rFonts w:ascii="Times New Roman" w:hAnsi="Times New Roman" w:cs="Times New Roman"/>
                <w:b/>
                <w:sz w:val="22"/>
                <w:szCs w:val="22"/>
              </w:rPr>
            </w:pPr>
            <w:r>
              <w:rPr>
                <w:rFonts w:ascii="Times New Roman" w:hAnsi="Times New Roman" w:cs="Times New Roman"/>
                <w:b/>
                <w:sz w:val="22"/>
                <w:szCs w:val="22"/>
              </w:rPr>
              <w:t>Rango de edad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65" w:type="dxa"/>
            <w:vAlign w:val="bottom"/>
          </w:tcPr>
          <w:p>
            <w:pPr>
              <w:ind w:left="164"/>
              <w:rPr>
                <w:rFonts w:ascii="Times New Roman" w:hAnsi="Times New Roman" w:cs="Times New Roman"/>
                <w:bCs/>
                <w:i/>
                <w:iCs/>
                <w:sz w:val="22"/>
                <w:szCs w:val="22"/>
              </w:rPr>
            </w:pPr>
            <w:r>
              <w:rPr>
                <w:rFonts w:ascii="Times New Roman" w:hAnsi="Times New Roman" w:cs="Times New Roman"/>
                <w:color w:val="000000"/>
                <w:sz w:val="22"/>
                <w:szCs w:val="22"/>
              </w:rPr>
              <w:t>6-11 meses</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37</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21.89%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3865" w:type="dxa"/>
            <w:vAlign w:val="bottom"/>
          </w:tcPr>
          <w:p>
            <w:pPr>
              <w:ind w:left="164"/>
              <w:rPr>
                <w:rFonts w:ascii="Times New Roman" w:hAnsi="Times New Roman" w:cs="Times New Roman"/>
                <w:bCs/>
                <w:i/>
                <w:iCs/>
                <w:sz w:val="22"/>
                <w:szCs w:val="22"/>
              </w:rPr>
            </w:pPr>
            <w:r>
              <w:rPr>
                <w:rFonts w:ascii="Times New Roman" w:hAnsi="Times New Roman" w:cs="Times New Roman"/>
                <w:color w:val="000000"/>
                <w:sz w:val="22"/>
                <w:szCs w:val="22"/>
              </w:rPr>
              <w:t>12-17 meses</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42</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24.85%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3865" w:type="dxa"/>
            <w:vAlign w:val="bottom"/>
          </w:tcPr>
          <w:p>
            <w:pPr>
              <w:ind w:left="164"/>
              <w:rPr>
                <w:rFonts w:ascii="Times New Roman" w:hAnsi="Times New Roman" w:cs="Times New Roman"/>
                <w:bCs/>
                <w:i/>
                <w:iCs/>
                <w:sz w:val="22"/>
                <w:szCs w:val="22"/>
              </w:rPr>
            </w:pPr>
            <w:r>
              <w:rPr>
                <w:rFonts w:ascii="Times New Roman" w:hAnsi="Times New Roman" w:cs="Times New Roman"/>
                <w:color w:val="000000"/>
                <w:sz w:val="22"/>
                <w:szCs w:val="22"/>
              </w:rPr>
              <w:t>18-23 meses</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42</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24.85%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3865" w:type="dxa"/>
            <w:vAlign w:val="bottom"/>
          </w:tcPr>
          <w:p>
            <w:pPr>
              <w:ind w:left="164"/>
              <w:rPr>
                <w:rFonts w:ascii="Times New Roman" w:hAnsi="Times New Roman" w:cs="Times New Roman"/>
                <w:bCs/>
                <w:i/>
                <w:iCs/>
                <w:sz w:val="22"/>
                <w:szCs w:val="22"/>
              </w:rPr>
            </w:pPr>
            <w:r>
              <w:rPr>
                <w:rFonts w:ascii="Times New Roman" w:hAnsi="Times New Roman" w:cs="Times New Roman"/>
                <w:color w:val="000000"/>
                <w:sz w:val="22"/>
                <w:szCs w:val="22"/>
              </w:rPr>
              <w:t>24-29 meses</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36</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65" w:type="dxa"/>
            <w:vAlign w:val="bottom"/>
          </w:tcPr>
          <w:p>
            <w:pPr>
              <w:ind w:left="164"/>
              <w:rPr>
                <w:rFonts w:ascii="Times New Roman" w:hAnsi="Times New Roman" w:cs="Times New Roman"/>
                <w:bCs/>
                <w:i/>
                <w:iCs/>
                <w:sz w:val="22"/>
                <w:szCs w:val="22"/>
              </w:rPr>
            </w:pPr>
            <w:r>
              <w:rPr>
                <w:rFonts w:ascii="Times New Roman" w:hAnsi="Times New Roman" w:cs="Times New Roman"/>
                <w:color w:val="000000"/>
                <w:sz w:val="22"/>
                <w:szCs w:val="22"/>
              </w:rPr>
              <w:t>30-36 meses</w:t>
            </w:r>
          </w:p>
        </w:tc>
        <w:tc>
          <w:tcPr>
            <w:tcW w:w="2828" w:type="dxa"/>
          </w:tcPr>
          <w:p>
            <w:pPr>
              <w:jc w:val="center"/>
              <w:rPr>
                <w:rFonts w:ascii="Times New Roman" w:hAnsi="Times New Roman" w:cs="Times New Roman"/>
                <w:sz w:val="22"/>
                <w:szCs w:val="22"/>
              </w:rPr>
            </w:pPr>
            <w:r>
              <w:rPr>
                <w:rFonts w:ascii="Times New Roman" w:hAnsi="Times New Roman" w:cs="Times New Roman"/>
                <w:sz w:val="22"/>
                <w:szCs w:val="22"/>
              </w:rPr>
              <w:t>12</w:t>
            </w:r>
          </w:p>
        </w:tc>
        <w:tc>
          <w:tcPr>
            <w:tcW w:w="2388" w:type="dxa"/>
          </w:tcPr>
          <w:p>
            <w:pPr>
              <w:jc w:val="center"/>
              <w:rPr>
                <w:rFonts w:ascii="Times New Roman" w:hAnsi="Times New Roman" w:cs="Times New Roman"/>
                <w:sz w:val="22"/>
                <w:szCs w:val="22"/>
              </w:rPr>
            </w:pPr>
            <w:r>
              <w:rPr>
                <w:rFonts w:ascii="Times New Roman" w:hAnsi="Times New Roman" w:cs="Times New Roman"/>
                <w:sz w:val="22"/>
                <w:szCs w:val="22"/>
              </w:rPr>
              <w:t>7.10%</w:t>
            </w:r>
          </w:p>
        </w:tc>
      </w:tr>
    </w:tbl>
    <w:p>
      <w:pPr>
        <w:rPr>
          <w:rFonts w:ascii="Times New Roman" w:hAnsi="Times New Roman" w:cs="Times New Roman"/>
          <w:sz w:val="22"/>
          <w:szCs w:val="22"/>
        </w:rPr>
      </w:pPr>
      <w:r>
        <w:rPr>
          <w:rFonts w:ascii="Arial" w:hAnsi="Arial" w:cs="Arial"/>
        </w:rPr>
        <w:t>*</w:t>
      </w:r>
      <w:r>
        <w:rPr>
          <w:rFonts w:ascii="Times New Roman" w:hAnsi="Times New Roman" w:cs="Times New Roman"/>
          <w:sz w:val="22"/>
          <w:szCs w:val="22"/>
        </w:rPr>
        <w:t xml:space="preserve">Mediana y rango intercuartílico </w:t>
      </w:r>
    </w:p>
    <w:p>
      <w:pPr>
        <w:spacing w:line="360" w:lineRule="auto"/>
        <w:rPr>
          <w:rFonts w:ascii="Arial" w:hAnsi="Arial" w:cs="Arial"/>
        </w:rPr>
      </w:pPr>
    </w:p>
    <w:p>
      <w:pPr>
        <w:spacing w:line="360" w:lineRule="auto"/>
        <w:jc w:val="both"/>
        <w:rPr>
          <w:rFonts w:ascii="Times New Roman" w:hAnsi="Times New Roman" w:cs="Times New Roman"/>
        </w:rPr>
      </w:pPr>
      <w:r>
        <w:rPr>
          <w:rFonts w:ascii="Times New Roman" w:hAnsi="Times New Roman" w:cs="Times New Roman"/>
        </w:rPr>
        <w:t xml:space="preserve">En el Gráfico 1 se puede observar que con respecto al nivel de conocimiento sobre anemia ferropénica por parte de las madres el 52.66 % (n=89) tenía un conocimiento alto, el 22.49% (n=38) un nivel de conocimiento medio y el 24.85% (n=42) un nivel de conocimiento bajo. </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b/>
          <w:bCs/>
        </w:rPr>
      </w:pPr>
      <w:r>
        <w:drawing>
          <wp:anchor distT="0" distB="0" distL="114300" distR="114300" simplePos="0" relativeHeight="251661312" behindDoc="1" locked="0" layoutInCell="1" allowOverlap="1">
            <wp:simplePos x="0" y="0"/>
            <wp:positionH relativeFrom="column">
              <wp:posOffset>824865</wp:posOffset>
            </wp:positionH>
            <wp:positionV relativeFrom="paragraph">
              <wp:posOffset>861060</wp:posOffset>
            </wp:positionV>
            <wp:extent cx="4381500" cy="3486150"/>
            <wp:effectExtent l="0" t="0" r="0" b="0"/>
            <wp:wrapTopAndBottom/>
            <wp:docPr id="83356850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cs="Times New Roman"/>
          <w:b/>
          <w:bCs/>
        </w:rPr>
        <w:t>Gráfico 1. Nivel de conocimiento sobre anemia ferropénica de las madres de los pacientes con anemia ferropénica atendidos en el Centro Materno Infantil Villa María del Triunfo en el contexto COVID-19 entre Mayo a Noviembre del 2021</w:t>
      </w:r>
    </w:p>
    <w:p>
      <w:pPr>
        <w:rPr>
          <w:rFonts w:ascii="Times New Roman" w:hAnsi="Times New Roman" w:cs="Times New Roman"/>
          <w:b/>
          <w:bCs/>
        </w:rPr>
      </w:pPr>
    </w:p>
    <w:p>
      <w:pPr>
        <w:rPr>
          <w:rFonts w:ascii="Times New Roman" w:hAnsi="Times New Roman" w:cs="Times New Roman"/>
          <w:b/>
          <w:bCs/>
        </w:rPr>
      </w:pPr>
    </w:p>
    <w:p>
      <w:pPr>
        <w:spacing w:line="360" w:lineRule="auto"/>
        <w:jc w:val="both"/>
        <w:rPr>
          <w:rFonts w:ascii="Times New Roman" w:hAnsi="Times New Roman" w:cs="Times New Roman"/>
        </w:rPr>
      </w:pPr>
      <w:r>
        <w:rPr>
          <w:rFonts w:ascii="Times New Roman" w:hAnsi="Times New Roman" w:cs="Times New Roman"/>
        </w:rPr>
        <w:t xml:space="preserve">En el Gráfico 2 se puede observar que, del total de pacientes con diagnóstico de anemia ferropénica, el 60% (n=101) tuvieron una buena respuesta al tratamiento, mientras que el 40% (n=68) no tuvieron una respuesta al tratamiento. </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rPr>
          <w:rFonts w:ascii="Times New Roman" w:hAnsi="Times New Roman" w:cs="Times New Roman"/>
        </w:rPr>
      </w:pPr>
      <w:r>
        <w:drawing>
          <wp:anchor distT="0" distB="0" distL="114300" distR="114300" simplePos="0" relativeHeight="251662336" behindDoc="0" locked="0" layoutInCell="1" allowOverlap="1">
            <wp:simplePos x="0" y="0"/>
            <wp:positionH relativeFrom="margin">
              <wp:posOffset>407670</wp:posOffset>
            </wp:positionH>
            <wp:positionV relativeFrom="paragraph">
              <wp:posOffset>900430</wp:posOffset>
            </wp:positionV>
            <wp:extent cx="4914900" cy="3076575"/>
            <wp:effectExtent l="0" t="0" r="0" b="0"/>
            <wp:wrapTopAndBottom/>
            <wp:docPr id="27317430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cs="Times New Roman"/>
          <w:b/>
          <w:bCs/>
        </w:rPr>
        <w:t>Gráfico 2. Respuesta al tratamiento de pacientes con anemia ferropénica atendidos en el Centro Materno Infantil Villa María del Triunfo en el contexto COVID-19 entre Mayo a Noviembre del 2021</w:t>
      </w:r>
    </w:p>
    <w:p>
      <w:pPr>
        <w:rPr>
          <w:rFonts w:ascii="Arial" w:hAnsi="Arial" w:cs="Arial"/>
        </w:rPr>
      </w:pPr>
    </w:p>
    <w:p>
      <w:pPr>
        <w:spacing w:line="360" w:lineRule="auto"/>
        <w:jc w:val="both"/>
        <w:rPr>
          <w:rFonts w:ascii="Times New Roman" w:hAnsi="Times New Roman" w:cs="Times New Roman"/>
        </w:rPr>
      </w:pPr>
      <w:r>
        <w:rPr>
          <w:rFonts w:ascii="Times New Roman" w:hAnsi="Times New Roman" w:cs="Times New Roman"/>
        </w:rPr>
        <w:t xml:space="preserve">En el Gráfico 3 se puede observar la comparación entre el primer dosaje de hemoglobina y el último dosaje de hemoglobina, observándose un aumento de esta en el último dosaje como resultado del tratamiento de la anemia ferropénica. </w:t>
      </w:r>
    </w:p>
    <w:p>
      <w:pPr>
        <w:spacing w:line="360" w:lineRule="auto"/>
        <w:jc w:val="both"/>
        <w:rPr>
          <w:rFonts w:ascii="Times New Roman" w:hAnsi="Times New Roman" w:cs="Times New Roman"/>
          <w:b/>
          <w:bCs/>
        </w:rPr>
      </w:pPr>
      <w:r>
        <w:drawing>
          <wp:anchor distT="0" distB="0" distL="114300" distR="114300" simplePos="0" relativeHeight="251660288" behindDoc="0" locked="0" layoutInCell="1" allowOverlap="1">
            <wp:simplePos x="0" y="0"/>
            <wp:positionH relativeFrom="margin">
              <wp:posOffset>691515</wp:posOffset>
            </wp:positionH>
            <wp:positionV relativeFrom="paragraph">
              <wp:posOffset>1144905</wp:posOffset>
            </wp:positionV>
            <wp:extent cx="4572000" cy="2743200"/>
            <wp:effectExtent l="0" t="0" r="0" b="0"/>
            <wp:wrapTopAndBottom/>
            <wp:docPr id="165092907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cs="Times New Roman"/>
          <w:b/>
          <w:bCs/>
        </w:rPr>
        <w:t>Gráfico 3. Comparación del primer dosaje de hemoglobina y último dosaje de hemoglobina en pacientes con anemia ferropénica atendidos en el Centro Materno Infantil Villa María del Triunfo en el contexto COVID-19 entre Mayo a Noviembre del 2021</w:t>
      </w:r>
    </w:p>
    <w:p>
      <w:pPr>
        <w:spacing w:line="360" w:lineRule="auto"/>
        <w:jc w:val="both"/>
        <w:rPr>
          <w:rFonts w:ascii="Times New Roman" w:hAnsi="Times New Roman" w:eastAsia="Calibri" w:cs="Times New Roman"/>
        </w:rPr>
      </w:pPr>
      <w:r>
        <w:rPr>
          <w:rFonts w:ascii="Times New Roman" w:hAnsi="Times New Roman" w:eastAsia="Calibri" w:cs="Times New Roman"/>
        </w:rPr>
        <w:t xml:space="preserve">En la Tabla 2 se puede observar el análisis bivariado de los datos recopilados en relación con la respuesta al tratamiento contra la anemia, donde se puede observar que el nivel de conocimiento sobre anemia ferropénica por parte de la madre muestra un chi cuadrado &lt;0.005 por lo que se considera una asociación significativa entre ambas variables. Tras el análisis del resto de variables estudiadas no se encontró asociación significativa. </w:t>
      </w:r>
    </w:p>
    <w:p>
      <w:pPr>
        <w:spacing w:line="276" w:lineRule="auto"/>
        <w:ind w:right="-376"/>
        <w:jc w:val="both"/>
        <w:rPr>
          <w:rFonts w:ascii="Times New Roman" w:hAnsi="Times New Roman" w:eastAsia="Calibri" w:cs="Times New Roman"/>
          <w:b/>
          <w:bCs/>
        </w:rPr>
      </w:pPr>
      <w:r>
        <w:rPr>
          <w:rFonts w:ascii="Times New Roman" w:hAnsi="Times New Roman" w:eastAsia="Calibri" w:cs="Times New Roman"/>
          <w:b/>
          <w:bCs/>
        </w:rPr>
        <w:t xml:space="preserve">Tabla 2.  Asociación entre el nivel de conocimiento sobre anemia ferropénica por parte de las madres y la respuesta al tratamiento contra la anemia de pacientes atendidos en el Centro Materno Infantil Villa María del Triunfo en el contexto COVID-19 entre Mayo a Noviembre del 2021, en el análisis bivariado y cálculo de chi cuadrado. </w:t>
      </w:r>
    </w:p>
    <w:p>
      <w:pPr>
        <w:spacing w:line="276" w:lineRule="auto"/>
        <w:jc w:val="both"/>
        <w:rPr>
          <w:rFonts w:ascii="Times New Roman" w:hAnsi="Times New Roman" w:eastAsia="Calibri" w:cs="Times New Roman"/>
          <w:b/>
          <w:bCs/>
        </w:rPr>
      </w:pPr>
    </w:p>
    <w:tbl>
      <w:tblPr>
        <w:tblStyle w:val="11"/>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701"/>
        <w:gridCol w:w="1417"/>
        <w:gridCol w:w="127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114" w:type="dxa"/>
            <w:vMerge w:val="restart"/>
            <w:vAlign w:val="center"/>
          </w:tcPr>
          <w:p>
            <w:pPr>
              <w:spacing w:line="256" w:lineRule="auto"/>
              <w:jc w:val="center"/>
              <w:rPr>
                <w:rFonts w:ascii="Calibri" w:hAnsi="Calibri" w:eastAsia="Calibri" w:cs="Times New Roman"/>
                <w:b/>
                <w:sz w:val="22"/>
                <w:szCs w:val="22"/>
                <w:lang w:val="es-MX"/>
              </w:rPr>
            </w:pPr>
            <w:bookmarkStart w:id="38" w:name="_Hlk145715489"/>
            <w:r>
              <w:rPr>
                <w:rFonts w:ascii="Calibri" w:hAnsi="Calibri" w:eastAsia="Calibri" w:cs="Times New Roman"/>
                <w:b/>
                <w:sz w:val="22"/>
                <w:szCs w:val="22"/>
                <w:lang w:val="es-MX"/>
              </w:rPr>
              <w:t>VARIABLES</w:t>
            </w:r>
          </w:p>
        </w:tc>
        <w:tc>
          <w:tcPr>
            <w:tcW w:w="3118" w:type="dxa"/>
            <w:gridSpan w:val="2"/>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Respuesta al tratamiento contra la anemia</w:t>
            </w:r>
          </w:p>
        </w:tc>
        <w:tc>
          <w:tcPr>
            <w:tcW w:w="1275"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TOTAL</w:t>
            </w:r>
          </w:p>
        </w:tc>
        <w:tc>
          <w:tcPr>
            <w:tcW w:w="1701" w:type="dxa"/>
            <w:vMerge w:val="restart"/>
            <w:vAlign w:val="center"/>
          </w:tcPr>
          <w:p>
            <w:pPr>
              <w:spacing w:line="256" w:lineRule="auto"/>
              <w:jc w:val="center"/>
              <w:rPr>
                <w:rFonts w:ascii="Calibri" w:hAnsi="Calibri" w:eastAsia="Calibri" w:cs="Times New Roman"/>
                <w:b/>
                <w:sz w:val="22"/>
                <w:szCs w:val="22"/>
                <w:vertAlign w:val="superscript"/>
                <w:lang w:val="es-MX"/>
              </w:rPr>
            </w:pPr>
            <w:r>
              <w:rPr>
                <w:rFonts w:ascii="Calibri" w:hAnsi="Calibri" w:eastAsia="Calibri" w:cs="Times New Roman"/>
                <w:b/>
                <w:sz w:val="22"/>
                <w:szCs w:val="22"/>
                <w:lang w:val="es-MX"/>
              </w:rPr>
              <w:t>X</w:t>
            </w:r>
            <w:r>
              <w:rPr>
                <w:rFonts w:ascii="Calibri" w:hAnsi="Calibri" w:eastAsia="Calibri" w:cs="Times New Roman"/>
                <w:b/>
                <w:sz w:val="22"/>
                <w:szCs w:val="22"/>
                <w:vertAlign w:val="superscript"/>
                <w:lang w:val="es-MX"/>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3114" w:type="dxa"/>
            <w:vMerge w:val="continue"/>
          </w:tcPr>
          <w:p>
            <w:pPr>
              <w:spacing w:line="256" w:lineRule="auto"/>
              <w:rPr>
                <w:rFonts w:ascii="Calibri" w:hAnsi="Calibri" w:eastAsia="Calibri" w:cs="Times New Roman"/>
                <w:b/>
                <w:sz w:val="22"/>
                <w:szCs w:val="22"/>
                <w:lang w:val="es-MX"/>
              </w:rPr>
            </w:pPr>
          </w:p>
        </w:tc>
        <w:tc>
          <w:tcPr>
            <w:tcW w:w="1701"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NO</w:t>
            </w:r>
          </w:p>
        </w:tc>
        <w:tc>
          <w:tcPr>
            <w:tcW w:w="1417"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SI</w:t>
            </w:r>
          </w:p>
        </w:tc>
        <w:tc>
          <w:tcPr>
            <w:tcW w:w="1275" w:type="dxa"/>
            <w:vMerge w:val="continue"/>
          </w:tcPr>
          <w:p>
            <w:pPr>
              <w:spacing w:line="256" w:lineRule="auto"/>
              <w:jc w:val="center"/>
              <w:rPr>
                <w:rFonts w:ascii="Calibri" w:hAnsi="Calibri" w:eastAsia="Calibri" w:cs="Times New Roman"/>
                <w:b/>
                <w:sz w:val="22"/>
                <w:szCs w:val="22"/>
                <w:lang w:val="es-MX"/>
              </w:rPr>
            </w:pPr>
          </w:p>
        </w:tc>
        <w:tc>
          <w:tcPr>
            <w:tcW w:w="1701" w:type="dxa"/>
            <w:vMerge w:val="continue"/>
          </w:tcPr>
          <w:p>
            <w:pPr>
              <w:spacing w:line="256" w:lineRule="auto"/>
              <w:jc w:val="center"/>
              <w:rPr>
                <w:rFonts w:ascii="Calibri" w:hAnsi="Calibri" w:eastAsia="Calibri" w:cs="Times New Roman"/>
                <w:b/>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08" w:type="dxa"/>
            <w:gridSpan w:val="5"/>
          </w:tcPr>
          <w:p>
            <w:pPr>
              <w:spacing w:line="256" w:lineRule="auto"/>
              <w:rPr>
                <w:rFonts w:ascii="Calibri" w:hAnsi="Calibri" w:eastAsia="Calibri" w:cs="Times New Roman"/>
                <w:sz w:val="22"/>
                <w:szCs w:val="22"/>
                <w:lang w:val="es-MX"/>
              </w:rPr>
            </w:pPr>
            <w:r>
              <w:rPr>
                <w:rFonts w:ascii="Calibri" w:hAnsi="Calibri" w:eastAsia="Calibri" w:cs="Times New Roman"/>
                <w:b/>
                <w:sz w:val="22"/>
                <w:szCs w:val="22"/>
                <w:lang w:val="es-MX"/>
              </w:rPr>
              <w:t>Estado Civil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Soltero </w:t>
            </w:r>
          </w:p>
        </w:tc>
        <w:tc>
          <w:tcPr>
            <w:tcW w:w="170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(41.18%)</w:t>
            </w:r>
          </w:p>
        </w:tc>
        <w:tc>
          <w:tcPr>
            <w:tcW w:w="1417" w:type="dxa"/>
          </w:tcPr>
          <w:p>
            <w:pPr>
              <w:spacing w:line="256" w:lineRule="auto"/>
              <w:ind w:left="-1376" w:firstLine="1376"/>
              <w:jc w:val="center"/>
              <w:rPr>
                <w:rFonts w:ascii="Calibri" w:hAnsi="Calibri" w:eastAsia="Calibri" w:cs="Times New Roman"/>
                <w:sz w:val="22"/>
                <w:szCs w:val="22"/>
                <w:lang w:val="es-MX"/>
              </w:rPr>
            </w:pPr>
            <w:r>
              <w:rPr>
                <w:rFonts w:ascii="Calibri" w:hAnsi="Calibri" w:eastAsia="Calibri" w:cs="Times New Roman"/>
                <w:sz w:val="22"/>
                <w:szCs w:val="22"/>
                <w:lang w:val="es-MX"/>
              </w:rPr>
              <w:t>30 (58.82%)</w:t>
            </w:r>
          </w:p>
        </w:tc>
        <w:tc>
          <w:tcPr>
            <w:tcW w:w="1275"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51</w:t>
            </w:r>
          </w:p>
        </w:tc>
        <w:tc>
          <w:tcPr>
            <w:tcW w:w="1701" w:type="dxa"/>
            <w:vMerge w:val="restart"/>
            <w:vAlign w:val="center"/>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Conviviente</w:t>
            </w:r>
          </w:p>
        </w:tc>
        <w:tc>
          <w:tcPr>
            <w:tcW w:w="170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19 (40.43%)</w:t>
            </w:r>
          </w:p>
        </w:tc>
        <w:tc>
          <w:tcPr>
            <w:tcW w:w="1417"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28 (59.57%)</w:t>
            </w:r>
          </w:p>
        </w:tc>
        <w:tc>
          <w:tcPr>
            <w:tcW w:w="1275"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47</w:t>
            </w:r>
          </w:p>
        </w:tc>
        <w:tc>
          <w:tcPr>
            <w:tcW w:w="1701" w:type="dxa"/>
            <w:vMerge w:val="continue"/>
            <w:vAlign w:val="center"/>
          </w:tcPr>
          <w:p>
            <w:pPr>
              <w:spacing w:line="256" w:lineRule="auto"/>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Casado</w:t>
            </w:r>
          </w:p>
        </w:tc>
        <w:tc>
          <w:tcPr>
            <w:tcW w:w="170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(42%)</w:t>
            </w:r>
          </w:p>
        </w:tc>
        <w:tc>
          <w:tcPr>
            <w:tcW w:w="1417"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29(58%)</w:t>
            </w:r>
          </w:p>
        </w:tc>
        <w:tc>
          <w:tcPr>
            <w:tcW w:w="1275"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50</w:t>
            </w:r>
          </w:p>
        </w:tc>
        <w:tc>
          <w:tcPr>
            <w:tcW w:w="1701" w:type="dxa"/>
            <w:vMerge w:val="continue"/>
            <w:vAlign w:val="center"/>
          </w:tcPr>
          <w:p>
            <w:pPr>
              <w:spacing w:line="256" w:lineRule="auto"/>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Divorciado </w:t>
            </w:r>
          </w:p>
        </w:tc>
        <w:tc>
          <w:tcPr>
            <w:tcW w:w="170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7 (33.33%)</w:t>
            </w:r>
          </w:p>
        </w:tc>
        <w:tc>
          <w:tcPr>
            <w:tcW w:w="1417"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14 (66.67%)</w:t>
            </w:r>
          </w:p>
        </w:tc>
        <w:tc>
          <w:tcPr>
            <w:tcW w:w="1275"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w:t>
            </w:r>
          </w:p>
        </w:tc>
        <w:tc>
          <w:tcPr>
            <w:tcW w:w="1701" w:type="dxa"/>
            <w:vMerge w:val="continue"/>
            <w:vAlign w:val="center"/>
          </w:tcPr>
          <w:p>
            <w:pPr>
              <w:spacing w:line="256" w:lineRule="auto"/>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208" w:type="dxa"/>
            <w:gridSpan w:val="5"/>
            <w:vAlign w:val="center"/>
          </w:tcPr>
          <w:p>
            <w:pPr>
              <w:spacing w:line="256" w:lineRule="auto"/>
              <w:rPr>
                <w:rFonts w:ascii="Calibri" w:hAnsi="Calibri" w:eastAsia="Calibri" w:cs="Times New Roman"/>
                <w:b/>
                <w:sz w:val="22"/>
                <w:szCs w:val="22"/>
                <w:lang w:val="es-MX"/>
              </w:rPr>
            </w:pPr>
            <w:r>
              <w:rPr>
                <w:rFonts w:ascii="Calibri" w:hAnsi="Calibri" w:eastAsia="Calibri" w:cs="Times New Roman"/>
                <w:b/>
                <w:sz w:val="22"/>
                <w:szCs w:val="22"/>
                <w:lang w:val="es-MX"/>
              </w:rPr>
              <w:t>Gado de instrucción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Sin Instrucción</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 (66.67%)</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 (33.33%)</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6</w:t>
            </w:r>
          </w:p>
        </w:tc>
        <w:tc>
          <w:tcPr>
            <w:tcW w:w="1701" w:type="dxa"/>
            <w:vMerge w:val="restart"/>
            <w:vAlign w:val="center"/>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Primaria 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6 (66.67%)</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 (33.33%)</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9</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Primaria Incompleta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 (37.50%)</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5(62.50%)</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8</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Secundaria 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16 (34.78%)</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30 (65.22%)</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46</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Secundaria Incompleta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6 (37.50%)</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10 (62.50%)</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16</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Técnico completo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11 (45.83%)</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13 (54.17%)</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24</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Técnico incompleto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10 (45.45%)</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 (54.55%)</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22</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Universitaria 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 (26.67%)</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11 (73.33%)</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15</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Universitaria Incompleta</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8 (34.78%)</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15 (65.22%)</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23</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08" w:type="dxa"/>
            <w:gridSpan w:val="5"/>
            <w:vAlign w:val="center"/>
          </w:tcPr>
          <w:p>
            <w:pPr>
              <w:rPr>
                <w:rFonts w:ascii="Calibri" w:hAnsi="Calibri" w:eastAsia="Calibri" w:cs="Times New Roman"/>
                <w:b/>
                <w:sz w:val="22"/>
                <w:szCs w:val="22"/>
                <w:lang w:val="es-MX"/>
              </w:rPr>
            </w:pPr>
            <w:r>
              <w:rPr>
                <w:rFonts w:ascii="Calibri" w:hAnsi="Calibri" w:eastAsia="Calibri" w:cs="Times New Roman"/>
                <w:b/>
                <w:sz w:val="22"/>
                <w:szCs w:val="22"/>
                <w:lang w:val="es-MX"/>
              </w:rPr>
              <w:t>Sexo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Femenino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(35.53%)</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49 (64.47%)</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76</w:t>
            </w:r>
          </w:p>
        </w:tc>
        <w:tc>
          <w:tcPr>
            <w:tcW w:w="1701" w:type="dxa"/>
            <w:vMerge w:val="restart"/>
            <w:vAlign w:val="center"/>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Masculino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41 (44.09%)</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52 (55.91%)</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93</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9208" w:type="dxa"/>
            <w:gridSpan w:val="5"/>
            <w:vAlign w:val="center"/>
          </w:tcPr>
          <w:p>
            <w:pPr>
              <w:rPr>
                <w:rFonts w:ascii="Calibri" w:hAnsi="Calibri" w:eastAsia="Calibri" w:cs="Times New Roman"/>
                <w:b/>
                <w:sz w:val="22"/>
                <w:szCs w:val="22"/>
                <w:lang w:val="es-MX"/>
              </w:rPr>
            </w:pPr>
            <w:r>
              <w:rPr>
                <w:rFonts w:ascii="Calibri" w:hAnsi="Calibri" w:eastAsia="Calibri" w:cs="Times New Roman"/>
                <w:b/>
                <w:sz w:val="22"/>
                <w:szCs w:val="22"/>
                <w:lang w:val="es-MX"/>
              </w:rPr>
              <w:t>Rango de edad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14" w:type="dxa"/>
            <w:vAlign w:val="bottom"/>
          </w:tcPr>
          <w:p>
            <w:pPr>
              <w:ind w:left="164"/>
              <w:rPr>
                <w:rFonts w:ascii="Calibri" w:hAnsi="Calibri" w:eastAsia="Calibri" w:cs="Times New Roman"/>
                <w:bCs/>
                <w:i/>
                <w:iCs/>
                <w:sz w:val="22"/>
                <w:szCs w:val="22"/>
              </w:rPr>
            </w:pPr>
            <w:r>
              <w:rPr>
                <w:rFonts w:ascii="Arial" w:hAnsi="Arial" w:eastAsia="Calibri" w:cs="Arial"/>
                <w:sz w:val="20"/>
                <w:szCs w:val="20"/>
                <w:lang w:val="es-MX"/>
              </w:rPr>
              <w:t>6-11 meses</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11 (29.73%)</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26 (70.27%)</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37</w:t>
            </w:r>
          </w:p>
        </w:tc>
        <w:tc>
          <w:tcPr>
            <w:tcW w:w="1701" w:type="dxa"/>
            <w:vMerge w:val="restart"/>
            <w:vAlign w:val="center"/>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12-17 meses</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15 (35.71%)</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(45.24%)</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18-23 meses</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23 (54.76%)</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(45.24%)</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24-29 meses</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 (33.33%)</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24 (66.67%)</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36</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30-36 meses</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(58.33%)</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 (41.67%)</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w:t>
            </w:r>
          </w:p>
        </w:tc>
        <w:tc>
          <w:tcPr>
            <w:tcW w:w="1701" w:type="dxa"/>
            <w:vMerge w:val="continue"/>
            <w:vAlign w:val="center"/>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08" w:type="dxa"/>
            <w:gridSpan w:val="5"/>
            <w:vAlign w:val="center"/>
          </w:tcPr>
          <w:p>
            <w:pPr>
              <w:rPr>
                <w:rFonts w:ascii="Calibri" w:hAnsi="Calibri" w:eastAsia="Calibri" w:cs="Times New Roman"/>
                <w:b/>
                <w:sz w:val="22"/>
                <w:szCs w:val="22"/>
                <w:lang w:val="es-MX"/>
              </w:rPr>
            </w:pPr>
            <w:r>
              <w:rPr>
                <w:rFonts w:ascii="Calibri" w:hAnsi="Calibri" w:eastAsia="Calibri" w:cs="Times New Roman"/>
                <w:b/>
                <w:sz w:val="22"/>
                <w:szCs w:val="22"/>
                <w:lang w:val="es-MX"/>
              </w:rPr>
              <w:t>Nivel de conocimiento sobre la anemia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Bajo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 (100%)</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 (0%)</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701" w:type="dxa"/>
            <w:vMerge w:val="restart"/>
            <w:vAlign w:val="center"/>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&lt;0.005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Medio </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(18.42%)</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31 (81.58%)</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38</w:t>
            </w:r>
          </w:p>
        </w:tc>
        <w:tc>
          <w:tcPr>
            <w:tcW w:w="1701" w:type="dxa"/>
            <w:vMerge w:val="continue"/>
          </w:tcPr>
          <w:p>
            <w:pPr>
              <w:jc w:val="center"/>
              <w:rPr>
                <w:rFonts w:ascii="Calibri" w:hAnsi="Calibri" w:eastAsia="Calibri" w:cs="Times New Roman"/>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Alto</w:t>
            </w:r>
          </w:p>
        </w:tc>
        <w:tc>
          <w:tcPr>
            <w:tcW w:w="170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(21.35%)</w:t>
            </w:r>
          </w:p>
        </w:tc>
        <w:tc>
          <w:tcPr>
            <w:tcW w:w="1417"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70 (78.65%)</w:t>
            </w:r>
          </w:p>
        </w:tc>
        <w:tc>
          <w:tcPr>
            <w:tcW w:w="1275"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89</w:t>
            </w:r>
          </w:p>
        </w:tc>
        <w:tc>
          <w:tcPr>
            <w:tcW w:w="1701" w:type="dxa"/>
            <w:vMerge w:val="continue"/>
          </w:tcPr>
          <w:p>
            <w:pPr>
              <w:jc w:val="center"/>
              <w:rPr>
                <w:rFonts w:ascii="Calibri" w:hAnsi="Calibri" w:eastAsia="Calibri" w:cs="Times New Roman"/>
                <w:sz w:val="22"/>
                <w:szCs w:val="22"/>
                <w:lang w:val="es-MX"/>
              </w:rPr>
            </w:pPr>
          </w:p>
        </w:tc>
      </w:tr>
      <w:bookmarkEnd w:id="38"/>
    </w:tbl>
    <w:p>
      <w:pPr>
        <w:spacing w:after="160" w:line="259" w:lineRule="auto"/>
        <w:rPr>
          <w:rFonts w:ascii="Arial" w:hAnsi="Arial" w:eastAsia="Calibri" w:cs="Arial"/>
          <w:kern w:val="2"/>
          <w14:ligatures w14:val="standardContextual"/>
        </w:rPr>
      </w:pPr>
    </w:p>
    <w:p>
      <w:pPr>
        <w:spacing w:after="160" w:line="360" w:lineRule="auto"/>
        <w:jc w:val="both"/>
        <w:rPr>
          <w:rFonts w:ascii="Times New Roman" w:hAnsi="Times New Roman" w:eastAsia="Calibri" w:cs="Times New Roman"/>
          <w:kern w:val="2"/>
          <w14:ligatures w14:val="standardContextual"/>
        </w:rPr>
      </w:pPr>
      <w:r>
        <w:rPr>
          <w:rFonts w:ascii="Times New Roman" w:hAnsi="Times New Roman" w:eastAsia="Calibri" w:cs="Times New Roman"/>
          <w:kern w:val="2"/>
          <w14:ligatures w14:val="standardContextual"/>
        </w:rPr>
        <w:t xml:space="preserve">En la Tabla 3 se observa, que tras el análisis bivariado y la Regresión de Poisson, en relación a la variable nivel de conocimiento sobre anemia ferropénica y la respuesta al tratamiento, el nivel de conocimiento alto mostro un RP = 5.14 ( IC95% 3.12 – 8.45) y un valor de p &lt; 0.005, de la misma manera el nivel d conocimiento medio mostró un RP = 4.95 (IC95% 2.98 – 8.23) y un valor de p &lt;0.005, dichos resultados muestran una asociación significativa entre el nivel de conocimiento y la  respuesta al tratamiento de anemia ferropénica. En el análisis realizado también se pudo observar que el rango de edad entre 18 a 23 meses se asocia a la respuesta al tratamiento contra la anemia con un RP=0.64 (IC 95% 0.43 – 0.95) y un valor p = 0.029.  </w:t>
      </w:r>
    </w:p>
    <w:p>
      <w:pPr>
        <w:spacing w:line="360" w:lineRule="auto"/>
        <w:ind w:right="49"/>
        <w:jc w:val="both"/>
        <w:rPr>
          <w:rFonts w:ascii="Times New Roman" w:hAnsi="Times New Roman" w:eastAsia="Calibri" w:cs="Times New Roman"/>
          <w:b/>
          <w:bCs/>
        </w:rPr>
      </w:pPr>
      <w:r>
        <w:rPr>
          <w:rFonts w:ascii="Times New Roman" w:hAnsi="Times New Roman" w:eastAsia="Calibri" w:cs="Times New Roman"/>
          <w:b/>
          <w:bCs/>
        </w:rPr>
        <w:t>Tabla 3. Asociación entre el nivel de conocimiento sobre anemia ferropénica por parte de las madres y la respuesta al tratamiento contra la anemia de pacientes atendidos en el Centro Materno Infantil Villa María del Triunfo en el contexto COVID-19 entre Mayo a Noviembre del 2021, en el análisis bivariado y Regresión de Poisson</w:t>
      </w:r>
    </w:p>
    <w:tbl>
      <w:tblPr>
        <w:tblStyle w:val="11"/>
        <w:tblW w:w="10775"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281"/>
        <w:gridCol w:w="1560"/>
        <w:gridCol w:w="992"/>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114"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VARIABLES</w:t>
            </w:r>
          </w:p>
        </w:tc>
        <w:tc>
          <w:tcPr>
            <w:tcW w:w="2841" w:type="dxa"/>
            <w:gridSpan w:val="2"/>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Respuesta al tratamiento contra la anemia</w:t>
            </w:r>
          </w:p>
        </w:tc>
        <w:tc>
          <w:tcPr>
            <w:tcW w:w="992"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TOTAL</w:t>
            </w:r>
          </w:p>
        </w:tc>
        <w:tc>
          <w:tcPr>
            <w:tcW w:w="1276" w:type="dxa"/>
            <w:vMerge w:val="restart"/>
            <w:vAlign w:val="center"/>
          </w:tcPr>
          <w:p>
            <w:pPr>
              <w:spacing w:line="256" w:lineRule="auto"/>
              <w:jc w:val="center"/>
              <w:rPr>
                <w:rFonts w:ascii="Calibri" w:hAnsi="Calibri" w:eastAsia="Calibri" w:cs="Times New Roman"/>
                <w:b/>
                <w:sz w:val="22"/>
                <w:szCs w:val="22"/>
                <w:vertAlign w:val="superscript"/>
                <w:lang w:val="es-MX"/>
              </w:rPr>
            </w:pPr>
            <w:r>
              <w:rPr>
                <w:rFonts w:ascii="Calibri" w:hAnsi="Calibri" w:eastAsia="Calibri" w:cs="Times New Roman"/>
                <w:b/>
                <w:sz w:val="22"/>
                <w:szCs w:val="22"/>
                <w:lang w:val="es-MX"/>
              </w:rPr>
              <w:t>RP</w:t>
            </w:r>
          </w:p>
        </w:tc>
        <w:tc>
          <w:tcPr>
            <w:tcW w:w="1276"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IC</w:t>
            </w:r>
          </w:p>
        </w:tc>
        <w:tc>
          <w:tcPr>
            <w:tcW w:w="1276"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VALOR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3114" w:type="dxa"/>
            <w:vMerge w:val="continue"/>
          </w:tcPr>
          <w:p>
            <w:pPr>
              <w:spacing w:line="256" w:lineRule="auto"/>
              <w:rPr>
                <w:rFonts w:ascii="Calibri" w:hAnsi="Calibri" w:eastAsia="Calibri" w:cs="Times New Roman"/>
                <w:b/>
                <w:sz w:val="22"/>
                <w:szCs w:val="22"/>
                <w:lang w:val="es-MX"/>
              </w:rPr>
            </w:pPr>
          </w:p>
        </w:tc>
        <w:tc>
          <w:tcPr>
            <w:tcW w:w="1281"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NO</w:t>
            </w:r>
          </w:p>
        </w:tc>
        <w:tc>
          <w:tcPr>
            <w:tcW w:w="1560"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SI</w:t>
            </w:r>
          </w:p>
        </w:tc>
        <w:tc>
          <w:tcPr>
            <w:tcW w:w="992"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775" w:type="dxa"/>
            <w:gridSpan w:val="7"/>
          </w:tcPr>
          <w:p>
            <w:pPr>
              <w:spacing w:line="256" w:lineRule="auto"/>
              <w:rPr>
                <w:rFonts w:ascii="Calibri" w:hAnsi="Calibri" w:eastAsia="Calibri" w:cs="Times New Roman"/>
                <w:sz w:val="22"/>
                <w:szCs w:val="22"/>
                <w:lang w:val="es-MX"/>
              </w:rPr>
            </w:pPr>
            <w:r>
              <w:rPr>
                <w:rFonts w:ascii="Calibri" w:hAnsi="Calibri" w:eastAsia="Calibri" w:cs="Times New Roman"/>
                <w:b/>
                <w:sz w:val="22"/>
                <w:szCs w:val="22"/>
                <w:lang w:val="es-MX"/>
              </w:rPr>
              <w:t>Estado Civil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Soltero </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(41.18%)</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30 (58.82%)</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51</w:t>
            </w:r>
          </w:p>
        </w:tc>
        <w:tc>
          <w:tcPr>
            <w:tcW w:w="3828" w:type="dxa"/>
            <w:gridSpan w:val="3"/>
            <w:vAlign w:val="center"/>
          </w:tcPr>
          <w:p>
            <w:pPr>
              <w:spacing w:line="256" w:lineRule="auto"/>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Conviviente</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19 (40.43%)</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28 (59.57%)</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47</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1.01</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0.72 – 1.40</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Casado</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(42%)</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29(58%)</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50</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0.98</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0.70 – 1.37</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Divorciado </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7 (33.33%)</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14 (66.67%)</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1.13</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0.77 – 1.65</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Sexo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Femenino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(35.53%)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49 (64.47%)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76</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Masculino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41 (44.09%)</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52 (55.91%)</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93</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 xml:space="preserve">0.86 </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0.67 – 1.11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Rango de edad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14" w:type="dxa"/>
            <w:vAlign w:val="bottom"/>
          </w:tcPr>
          <w:p>
            <w:pPr>
              <w:ind w:left="164"/>
              <w:rPr>
                <w:rFonts w:ascii="Calibri" w:hAnsi="Calibri" w:eastAsia="Calibri" w:cs="Times New Roman"/>
                <w:bCs/>
                <w:i/>
                <w:iCs/>
                <w:sz w:val="22"/>
                <w:szCs w:val="22"/>
              </w:rPr>
            </w:pPr>
            <w:r>
              <w:rPr>
                <w:rFonts w:ascii="Arial" w:hAnsi="Arial" w:eastAsia="Calibri" w:cs="Arial"/>
                <w:sz w:val="20"/>
                <w:szCs w:val="20"/>
                <w:lang w:val="es-MX"/>
              </w:rPr>
              <w:t>6-11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11 (29.73%)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26 (70.27%)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37</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12-17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15 (35.71%)</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(45.24%)</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0.91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0.67 – 1.24</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18-23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23 (54.76%)</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(45.24%)</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0.64</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0.43 – 0.95</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24-29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 (33.33%)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24 (66.67%)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36</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0.94</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0.69 – 1.29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30-36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(58.33%)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 (41.67%)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0.59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0.29 – 1.19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Nivel de conocimiento sobre la anemia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Bajo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 (100%)</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 (0%)</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Medio </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(18.42%)</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31 (81.58%)</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38</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5.14</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3.12 – 8.45</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&lt;0.005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Alto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(21.35%)</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70 (78.65%)</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89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4.95</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2.98 – 8.23</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&lt;0.005</w:t>
            </w:r>
          </w:p>
        </w:tc>
      </w:tr>
    </w:tbl>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spacing w:after="160" w:line="360" w:lineRule="auto"/>
        <w:jc w:val="both"/>
        <w:rPr>
          <w:rFonts w:ascii="Times New Roman" w:hAnsi="Times New Roman" w:eastAsia="Calibri" w:cs="Times New Roman"/>
          <w:kern w:val="2"/>
          <w14:ligatures w14:val="standardContextual"/>
        </w:rPr>
      </w:pPr>
      <w:bookmarkStart w:id="39" w:name="_Hlk145737325"/>
      <w:r>
        <w:rPr>
          <w:rFonts w:ascii="Times New Roman" w:hAnsi="Times New Roman" w:eastAsia="Calibri" w:cs="Times New Roman"/>
          <w:kern w:val="2"/>
          <w14:ligatures w14:val="standardContextual"/>
        </w:rPr>
        <w:t xml:space="preserve">Tras el análisis multivariado, en la Tabla 4 se puede observar que el nivel de conocimiento medio RP = 3.83 (IC95% 2.59 – 5.67, p &lt;0.005)  y el nivel de conocimiento alto RP= 3.61 (IC 95% 2.49 – 5.25, p &lt; 0.005) se asocian significativamente a la respuesta al tratamiento contra la anemia. </w:t>
      </w:r>
      <w:bookmarkEnd w:id="39"/>
      <w:r>
        <w:rPr>
          <w:rFonts w:ascii="Times New Roman" w:hAnsi="Times New Roman" w:eastAsia="Calibri" w:cs="Times New Roman"/>
          <w:kern w:val="2"/>
          <w14:ligatures w14:val="standardContextual"/>
        </w:rPr>
        <w:t>Por lo tanto, se infiere que tener un conocimiento medio o alto se asocia de manera significativa a una buena respuesta al tratamiento de los pacientes con anemia ferropénica.</w:t>
      </w:r>
    </w:p>
    <w:p>
      <w:pPr>
        <w:spacing w:line="360" w:lineRule="auto"/>
        <w:jc w:val="both"/>
        <w:rPr>
          <w:rFonts w:ascii="Times New Roman" w:hAnsi="Times New Roman" w:eastAsia="Calibri" w:cs="Times New Roman"/>
          <w:b/>
          <w:bCs/>
        </w:rPr>
      </w:pPr>
      <w:r>
        <w:rPr>
          <w:rFonts w:ascii="Times New Roman" w:hAnsi="Times New Roman" w:eastAsia="Calibri" w:cs="Times New Roman"/>
          <w:b/>
          <w:bCs/>
        </w:rPr>
        <w:t>Tabla 4. Asociación entre el nivel de conocimiento sobre anemia ferropénica por parte de las madres y la respuesta al tratamiento contra la anemia de pacientes atendidos en el Centro Materno Infantil Villa María del Triunfo en el contexto COVID-19 entre Mayo a Noviembre del 2021, en el análisis multivariado</w:t>
      </w:r>
    </w:p>
    <w:p>
      <w:pPr>
        <w:spacing w:line="360" w:lineRule="auto"/>
        <w:jc w:val="both"/>
        <w:rPr>
          <w:rFonts w:ascii="Times New Roman" w:hAnsi="Times New Roman" w:eastAsia="Calibri" w:cs="Times New Roman"/>
          <w:b/>
          <w:bCs/>
        </w:rPr>
      </w:pPr>
    </w:p>
    <w:tbl>
      <w:tblPr>
        <w:tblStyle w:val="11"/>
        <w:tblW w:w="10775"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281"/>
        <w:gridCol w:w="1560"/>
        <w:gridCol w:w="992"/>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114"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VARIABLES</w:t>
            </w:r>
          </w:p>
        </w:tc>
        <w:tc>
          <w:tcPr>
            <w:tcW w:w="2841" w:type="dxa"/>
            <w:gridSpan w:val="2"/>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Respuesta al tratamiento contra la anemia</w:t>
            </w:r>
          </w:p>
        </w:tc>
        <w:tc>
          <w:tcPr>
            <w:tcW w:w="992"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TOTAL</w:t>
            </w:r>
          </w:p>
        </w:tc>
        <w:tc>
          <w:tcPr>
            <w:tcW w:w="1276" w:type="dxa"/>
            <w:vMerge w:val="restart"/>
            <w:vAlign w:val="center"/>
          </w:tcPr>
          <w:p>
            <w:pPr>
              <w:spacing w:line="256" w:lineRule="auto"/>
              <w:jc w:val="center"/>
              <w:rPr>
                <w:rFonts w:ascii="Calibri" w:hAnsi="Calibri" w:eastAsia="Calibri" w:cs="Times New Roman"/>
                <w:b/>
                <w:sz w:val="22"/>
                <w:szCs w:val="22"/>
                <w:vertAlign w:val="superscript"/>
                <w:lang w:val="es-MX"/>
              </w:rPr>
            </w:pPr>
            <w:r>
              <w:rPr>
                <w:rFonts w:ascii="Calibri" w:hAnsi="Calibri" w:eastAsia="Calibri" w:cs="Times New Roman"/>
                <w:b/>
                <w:sz w:val="22"/>
                <w:szCs w:val="22"/>
                <w:lang w:val="es-MX"/>
              </w:rPr>
              <w:t>RP</w:t>
            </w:r>
          </w:p>
        </w:tc>
        <w:tc>
          <w:tcPr>
            <w:tcW w:w="1276"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IC</w:t>
            </w:r>
          </w:p>
        </w:tc>
        <w:tc>
          <w:tcPr>
            <w:tcW w:w="1276" w:type="dxa"/>
            <w:vMerge w:val="restart"/>
            <w:vAlign w:val="center"/>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VALOR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3114" w:type="dxa"/>
            <w:vMerge w:val="continue"/>
          </w:tcPr>
          <w:p>
            <w:pPr>
              <w:spacing w:line="256" w:lineRule="auto"/>
              <w:rPr>
                <w:rFonts w:ascii="Calibri" w:hAnsi="Calibri" w:eastAsia="Calibri" w:cs="Times New Roman"/>
                <w:b/>
                <w:sz w:val="22"/>
                <w:szCs w:val="22"/>
                <w:lang w:val="es-MX"/>
              </w:rPr>
            </w:pPr>
          </w:p>
        </w:tc>
        <w:tc>
          <w:tcPr>
            <w:tcW w:w="1281"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NO</w:t>
            </w:r>
          </w:p>
        </w:tc>
        <w:tc>
          <w:tcPr>
            <w:tcW w:w="1560" w:type="dxa"/>
          </w:tcPr>
          <w:p>
            <w:pPr>
              <w:spacing w:line="256" w:lineRule="auto"/>
              <w:jc w:val="center"/>
              <w:rPr>
                <w:rFonts w:ascii="Calibri" w:hAnsi="Calibri" w:eastAsia="Calibri" w:cs="Times New Roman"/>
                <w:b/>
                <w:sz w:val="22"/>
                <w:szCs w:val="22"/>
                <w:lang w:val="es-MX"/>
              </w:rPr>
            </w:pPr>
            <w:r>
              <w:rPr>
                <w:rFonts w:ascii="Calibri" w:hAnsi="Calibri" w:eastAsia="Calibri" w:cs="Times New Roman"/>
                <w:b/>
                <w:sz w:val="22"/>
                <w:szCs w:val="22"/>
                <w:lang w:val="es-MX"/>
              </w:rPr>
              <w:t>SI</w:t>
            </w:r>
          </w:p>
        </w:tc>
        <w:tc>
          <w:tcPr>
            <w:tcW w:w="992"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c>
          <w:tcPr>
            <w:tcW w:w="1276" w:type="dxa"/>
            <w:vMerge w:val="continue"/>
          </w:tcPr>
          <w:p>
            <w:pPr>
              <w:spacing w:line="256" w:lineRule="auto"/>
              <w:jc w:val="center"/>
              <w:rPr>
                <w:rFonts w:ascii="Calibri" w:hAnsi="Calibri" w:eastAsia="Calibri" w:cs="Times New Roman"/>
                <w:b/>
                <w:sz w:val="22"/>
                <w:szCs w:val="22"/>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775" w:type="dxa"/>
            <w:gridSpan w:val="7"/>
          </w:tcPr>
          <w:p>
            <w:pPr>
              <w:spacing w:line="256" w:lineRule="auto"/>
              <w:rPr>
                <w:rFonts w:ascii="Calibri" w:hAnsi="Calibri" w:eastAsia="Calibri" w:cs="Times New Roman"/>
                <w:sz w:val="22"/>
                <w:szCs w:val="22"/>
                <w:lang w:val="es-MX"/>
              </w:rPr>
            </w:pPr>
            <w:r>
              <w:rPr>
                <w:rFonts w:ascii="Calibri" w:hAnsi="Calibri" w:eastAsia="Calibri" w:cs="Times New Roman"/>
                <w:b/>
                <w:sz w:val="22"/>
                <w:szCs w:val="22"/>
                <w:lang w:val="es-MX"/>
              </w:rPr>
              <w:t>Estado Civil de la madre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Soltero </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(41.18%)</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30 (58.82%)</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51</w:t>
            </w:r>
          </w:p>
        </w:tc>
        <w:tc>
          <w:tcPr>
            <w:tcW w:w="3828" w:type="dxa"/>
            <w:gridSpan w:val="3"/>
            <w:vAlign w:val="center"/>
          </w:tcPr>
          <w:p>
            <w:pPr>
              <w:spacing w:line="256" w:lineRule="auto"/>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Conviviente</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19 (40.43%)</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28 (59.57%)</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47</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0.94</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0.74 – 1.19</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Casado</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 (42%)</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29(58%)</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50</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0.90</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0.69 – 1.17</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spacing w:line="256" w:lineRule="auto"/>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Divorciado </w:t>
            </w:r>
          </w:p>
        </w:tc>
        <w:tc>
          <w:tcPr>
            <w:tcW w:w="1281"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7 (33.33%)</w:t>
            </w:r>
          </w:p>
        </w:tc>
        <w:tc>
          <w:tcPr>
            <w:tcW w:w="1560"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14 (66.67%)</w:t>
            </w:r>
          </w:p>
        </w:tc>
        <w:tc>
          <w:tcPr>
            <w:tcW w:w="992"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21</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1.08</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0.86 – 1.36</w:t>
            </w:r>
          </w:p>
        </w:tc>
        <w:tc>
          <w:tcPr>
            <w:tcW w:w="1276" w:type="dxa"/>
          </w:tcPr>
          <w:p>
            <w:pPr>
              <w:spacing w:line="256" w:lineRule="auto"/>
              <w:jc w:val="center"/>
              <w:rPr>
                <w:rFonts w:ascii="Calibri" w:hAnsi="Calibri" w:eastAsia="Calibri" w:cs="Times New Roman"/>
                <w:sz w:val="22"/>
                <w:szCs w:val="22"/>
                <w:lang w:val="es-MX"/>
              </w:rPr>
            </w:pPr>
            <w:r>
              <w:rPr>
                <w:rFonts w:ascii="Calibri" w:hAnsi="Calibri" w:eastAsia="Calibri" w:cs="Times New Roman"/>
                <w:sz w:val="22"/>
                <w:szCs w:val="22"/>
                <w:lang w:val="es-MX"/>
              </w:rPr>
              <w:t>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Sexo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Femenino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(35.53%)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49 (64.47%)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76</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Masculino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41 (44.09%)</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52 (55.91%)</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93</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0.93</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0.77 – 1.11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Rango de edad del paciente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14" w:type="dxa"/>
            <w:vAlign w:val="bottom"/>
          </w:tcPr>
          <w:p>
            <w:pPr>
              <w:ind w:left="164"/>
              <w:rPr>
                <w:rFonts w:ascii="Calibri" w:hAnsi="Calibri" w:eastAsia="Calibri" w:cs="Times New Roman"/>
                <w:bCs/>
                <w:i/>
                <w:iCs/>
                <w:sz w:val="22"/>
                <w:szCs w:val="22"/>
              </w:rPr>
            </w:pPr>
            <w:r>
              <w:rPr>
                <w:rFonts w:ascii="Arial" w:hAnsi="Arial" w:eastAsia="Calibri" w:cs="Arial"/>
                <w:sz w:val="20"/>
                <w:szCs w:val="20"/>
                <w:lang w:val="es-MX"/>
              </w:rPr>
              <w:t>6-11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11 (29.73%)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26 (70.27%)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37</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12-17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15 (35.71%)</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27 (45.24%)</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0.97</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0.74 – 1.27</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18-23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23 (54.76%)</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(45.24%)</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0.91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0.69 – 1.19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24-29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 (33.33%)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24 (66.67%)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36</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1.09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0.87 – 1.38</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3114" w:type="dxa"/>
            <w:vAlign w:val="bottom"/>
          </w:tcPr>
          <w:p>
            <w:pPr>
              <w:ind w:left="164"/>
              <w:rPr>
                <w:rFonts w:ascii="Calibri" w:hAnsi="Calibri" w:eastAsia="Calibri" w:cs="Times New Roman"/>
                <w:bCs/>
                <w:i/>
                <w:iCs/>
                <w:sz w:val="22"/>
                <w:szCs w:val="22"/>
                <w:lang w:val="es-MX"/>
              </w:rPr>
            </w:pPr>
            <w:r>
              <w:rPr>
                <w:rFonts w:ascii="Arial" w:hAnsi="Arial" w:eastAsia="Calibri" w:cs="Arial"/>
                <w:sz w:val="20"/>
                <w:szCs w:val="20"/>
                <w:lang w:val="es-MX"/>
              </w:rPr>
              <w:t>30-36 meses</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(58.33%)</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5 (41.67%)</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12</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0.81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0.48 – 1.38</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775" w:type="dxa"/>
            <w:gridSpan w:val="7"/>
          </w:tcPr>
          <w:p>
            <w:pPr>
              <w:rPr>
                <w:rFonts w:ascii="Calibri" w:hAnsi="Calibri" w:eastAsia="Calibri" w:cs="Times New Roman"/>
                <w:b/>
                <w:sz w:val="22"/>
                <w:szCs w:val="22"/>
                <w:lang w:val="es-MX"/>
              </w:rPr>
            </w:pPr>
            <w:r>
              <w:rPr>
                <w:rFonts w:ascii="Calibri" w:hAnsi="Calibri" w:eastAsia="Calibri" w:cs="Times New Roman"/>
                <w:b/>
                <w:sz w:val="22"/>
                <w:szCs w:val="22"/>
                <w:lang w:val="es-MX"/>
              </w:rPr>
              <w:t>Nivel de conocimiento sobre la anemia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Bajo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 (100%)</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0 (0%)</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42</w:t>
            </w:r>
          </w:p>
        </w:tc>
        <w:tc>
          <w:tcPr>
            <w:tcW w:w="3828" w:type="dxa"/>
            <w:gridSpan w:val="3"/>
            <w:vAlign w:val="center"/>
          </w:tcPr>
          <w:p>
            <w:pPr>
              <w:rPr>
                <w:rFonts w:ascii="Calibri" w:hAnsi="Calibri" w:eastAsia="Calibri" w:cs="Times New Roman"/>
                <w:sz w:val="22"/>
                <w:szCs w:val="22"/>
                <w:lang w:val="es-MX"/>
              </w:rPr>
            </w:pPr>
            <w:r>
              <w:rPr>
                <w:rFonts w:ascii="Calibri" w:hAnsi="Calibri" w:eastAsia="Calibri" w:cs="Times New Roman"/>
                <w:sz w:val="22"/>
                <w:szCs w:val="22"/>
                <w:lang w:val="es-MX"/>
              </w:rPr>
              <w:t>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 xml:space="preserve">Medio </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 (18.42%)</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31 (81.58%)</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38</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3.83</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2.59 – 5.67</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&lt;0.005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114" w:type="dxa"/>
          </w:tcPr>
          <w:p>
            <w:pPr>
              <w:ind w:left="180"/>
              <w:rPr>
                <w:rFonts w:ascii="Calibri" w:hAnsi="Calibri" w:eastAsia="Calibri" w:cs="Times New Roman"/>
                <w:bCs/>
                <w:i/>
                <w:iCs/>
                <w:sz w:val="22"/>
                <w:szCs w:val="22"/>
                <w:lang w:val="es-MX"/>
              </w:rPr>
            </w:pPr>
            <w:r>
              <w:rPr>
                <w:rFonts w:ascii="Calibri" w:hAnsi="Calibri" w:eastAsia="Calibri" w:cs="Times New Roman"/>
                <w:bCs/>
                <w:i/>
                <w:iCs/>
                <w:sz w:val="22"/>
                <w:szCs w:val="22"/>
                <w:lang w:val="es-MX"/>
              </w:rPr>
              <w:t>Alto</w:t>
            </w:r>
          </w:p>
        </w:tc>
        <w:tc>
          <w:tcPr>
            <w:tcW w:w="1281"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19 (21.35%)</w:t>
            </w:r>
          </w:p>
        </w:tc>
        <w:tc>
          <w:tcPr>
            <w:tcW w:w="1560"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70 (78.65%)</w:t>
            </w:r>
          </w:p>
        </w:tc>
        <w:tc>
          <w:tcPr>
            <w:tcW w:w="992"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89</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3.61</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2.49 – 5.25</w:t>
            </w:r>
          </w:p>
        </w:tc>
        <w:tc>
          <w:tcPr>
            <w:tcW w:w="1276" w:type="dxa"/>
          </w:tcPr>
          <w:p>
            <w:pPr>
              <w:jc w:val="center"/>
              <w:rPr>
                <w:rFonts w:ascii="Calibri" w:hAnsi="Calibri" w:eastAsia="Calibri" w:cs="Times New Roman"/>
                <w:sz w:val="22"/>
                <w:szCs w:val="22"/>
                <w:lang w:val="es-MX"/>
              </w:rPr>
            </w:pPr>
            <w:r>
              <w:rPr>
                <w:rFonts w:ascii="Calibri" w:hAnsi="Calibri" w:eastAsia="Calibri" w:cs="Times New Roman"/>
                <w:sz w:val="22"/>
                <w:szCs w:val="22"/>
                <w:lang w:val="es-MX"/>
              </w:rPr>
              <w:t>&lt;0.005</w:t>
            </w:r>
          </w:p>
        </w:tc>
      </w:tr>
    </w:tbl>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spacing w:after="160" w:line="259" w:lineRule="auto"/>
        <w:rPr>
          <w:rFonts w:ascii="Arial" w:hAnsi="Arial" w:eastAsia="Calibri" w:cs="Arial"/>
          <w:kern w:val="2"/>
          <w14:ligatures w14:val="standardContextual"/>
        </w:rPr>
      </w:pPr>
    </w:p>
    <w:p>
      <w:pPr>
        <w:pStyle w:val="3"/>
        <w:rPr>
          <w:rFonts w:ascii="Times New Roman" w:hAnsi="Times New Roman" w:cs="Times New Roman"/>
          <w:b/>
          <w:bCs/>
          <w:color w:val="auto"/>
          <w:sz w:val="24"/>
          <w:szCs w:val="24"/>
        </w:rPr>
      </w:pPr>
      <w:bookmarkStart w:id="40" w:name="_Toc145737813"/>
      <w:r>
        <w:rPr>
          <w:rFonts w:ascii="Times New Roman" w:hAnsi="Times New Roman" w:cs="Times New Roman"/>
          <w:b/>
          <w:bCs/>
          <w:color w:val="auto"/>
          <w:sz w:val="24"/>
          <w:szCs w:val="24"/>
        </w:rPr>
        <w:t>5.2. DISCUSIÓN DE RESULTADOS</w:t>
      </w:r>
      <w:bookmarkEnd w:id="40"/>
      <w:r>
        <w:rPr>
          <w:rFonts w:ascii="Times New Roman" w:hAnsi="Times New Roman" w:cs="Times New Roman"/>
          <w:b/>
          <w:bCs/>
          <w:color w:val="auto"/>
          <w:sz w:val="24"/>
          <w:szCs w:val="24"/>
        </w:rPr>
        <w:br w:type="textWrapping"/>
      </w:r>
    </w:p>
    <w:p>
      <w:pPr>
        <w:spacing w:line="360" w:lineRule="auto"/>
        <w:jc w:val="both"/>
        <w:rPr>
          <w:rFonts w:ascii="Times New Roman" w:hAnsi="Times New Roman" w:cs="Times New Roman"/>
        </w:rPr>
      </w:pPr>
      <w:r>
        <w:rPr>
          <w:rFonts w:ascii="Times New Roman" w:hAnsi="Times New Roman" w:cs="Times New Roman"/>
        </w:rPr>
        <w:t xml:space="preserve">Posterior al análisis de los datos y la obtención de los resultados, se expondrán las evidencias en relación con los objetivos planteados y a las hipótesis presentadas. La presente tesis tuvo como objetivo general determinar la asociación entre el nivel de conocimiento de la anemia ferropénica por parte de las madres y la respuesta al tratamiento de los pacientes con diagnóstico de anemia ferropénica. </w:t>
      </w:r>
    </w:p>
    <w:p>
      <w:pPr>
        <w:spacing w:line="360" w:lineRule="auto"/>
        <w:jc w:val="both"/>
        <w:rPr>
          <w:rFonts w:ascii="Times New Roman" w:hAnsi="Times New Roman" w:cs="Times New Roman"/>
        </w:rPr>
      </w:pPr>
      <w:r>
        <w:rPr>
          <w:rFonts w:ascii="Times New Roman" w:hAnsi="Times New Roman" w:cs="Times New Roman"/>
        </w:rPr>
        <w:t xml:space="preserve">Los resultados del presente estudio mostraron que hay una asociación significativa entre el nivel de conocimiento alto y medio sobre la anemia ferropénica por parte de las madres y la respuesta al tratamiento. Estos resultados son similares a los encontrados por Conco Valentin CG y Monroy Mamani KT </w:t>
      </w:r>
      <w:r>
        <w:rPr>
          <w:rFonts w:ascii="Times New Roman" w:hAnsi="Times New Roman" w:cs="Times New Roman"/>
        </w:rPr>
        <w:fldChar w:fldCharType="begin"/>
      </w:r>
      <w:r>
        <w:rPr>
          <w:rFonts w:ascii="Times New Roman" w:hAnsi="Times New Roman" w:cs="Times New Roman"/>
        </w:rPr>
        <w:instrText xml:space="preserve"> ADDIN ZOTERO_ITEM CSL_CITATION {"citationID":"hhHPDPRG","properties":{"formattedCitation":"\\super 39\\nosupersub{}","plainCitation":"39","noteIndex":0},"citationItems":[{"id":"GNOTfPg8/Sk0QfbFg","uris":["http://zotero.org/users/local/6HPdQlch/items/4VPCBJMT"],"itemData":{"id":401,"type":"thesis","event-place":"Huaraz","number-of-pages":"58","publisher":"Univrsidad Cesar Vallejo","publisher-place":"Huaraz","title":"Conocimientomaternoyadherenciaaltratamientocontrala anemiaenniñosdeHuanchac-Huaraz,2021.","URL":"https://repositorio.ucv.edu.pe/bitstream/handle/20.500.12692/62156/Conco_VCG-Monrroy_MKY-SD.pdf?sequence=1&amp;isAllowed=y","author":[{"family":"Conco Valentin","given":"Claudia Gloria"},{"family":"Monrroy Mamani","given":"Katerin Yeesenia"}],"issued":{"date-parts":[["2021"]]}}}],"schema":"https://github.com/citation-style-language/schema/raw/master/csl-citation.json"}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39</w:t>
      </w:r>
      <w:r>
        <w:rPr>
          <w:rFonts w:ascii="Times New Roman" w:hAnsi="Times New Roman" w:cs="Times New Roman"/>
        </w:rPr>
        <w:fldChar w:fldCharType="end"/>
      </w:r>
      <w:r>
        <w:rPr>
          <w:rFonts w:ascii="Times New Roman" w:hAnsi="Times New Roman" w:cs="Times New Roman"/>
        </w:rPr>
        <w:t xml:space="preserve"> quienes encontraron que el conocimiento materno se asocia a una buena adherencia al tratamiento, generando un buen resultado en el tratamiento contra la anemia ferropénica en niños, así mismo mostraron porcentajes similares en relación al nivel de conocimiento, donde evidenciaron que el 64% presento un nivel alto y 36% un nivel medio. </w:t>
      </w:r>
    </w:p>
    <w:p>
      <w:pPr>
        <w:spacing w:line="360" w:lineRule="auto"/>
        <w:jc w:val="both"/>
        <w:rPr>
          <w:rFonts w:ascii="Times New Roman" w:hAnsi="Times New Roman" w:cs="Times New Roman"/>
        </w:rPr>
      </w:pPr>
      <w:r>
        <w:rPr>
          <w:rFonts w:ascii="Times New Roman" w:hAnsi="Times New Roman" w:cs="Times New Roman"/>
        </w:rPr>
        <w:t xml:space="preserve">De la misma manera el estudio realizado por Mamani Garcia F y Palomino Flores A. </w:t>
      </w:r>
      <w:r>
        <w:rPr>
          <w:rFonts w:ascii="Times New Roman" w:hAnsi="Times New Roman" w:cs="Times New Roman"/>
        </w:rPr>
        <w:fldChar w:fldCharType="begin"/>
      </w:r>
      <w:r>
        <w:rPr>
          <w:rFonts w:ascii="Times New Roman" w:hAnsi="Times New Roman" w:cs="Times New Roman"/>
        </w:rPr>
        <w:instrText xml:space="preserve"> ADDIN ZOTERO_ITEM CSL_CITATION {"citationID":"vqEtqCXC","properties":{"formattedCitation":"\\super 40\\nosupersub{}","plainCitation":"40","noteIndex":0},"citationItems":[{"id":"GNOTfPg8/M5a9YNhQ","uris":["http://zotero.org/users/local/6HPdQlch/items/EJXU4WCK"],"itemData":{"id":398,"type":"article-journal","abstract":"Resumen\n\t\t\t\t\tEl objetivo de este trabajo es determinar los factores asociados en la adherencia al tratamiento de anemia ferropénica con hierro polimaltosado en niños menores de 2 años en un Centro de Salud, Lima Este, 2020. La investigación es de enfoque cuantitativo, diseño no experimental, de corte transversal y de tipo correlacional. La selección de la muestra fue mediante muestreo no probabilístico por conveniencia. La muestra estuvo conformada por 116 madres con niños menores de 2 años. Los resultados indicaron que el 62.9% de las madres encuestadas tienen una percepción regular respecto al personal de salud; el 64.7% de las madres presenta un conocimiento alto y el 68.1% de las madres con niños menores de 2 años son adherentes al tratamiento con hierro polimaltosado. Con respecto a la correlación existe relación estadística significativa entre el factor personal de salud (rho=.403, p=000) y conocimiento de la (rho=.300, p=001) con la adherencia. De acuerdo a los resultados obtenidos, se concluye que los factores relacionados al personal de salud y al conocimiento de la madre se relacionan de forma directa y significativa con la adherencia al tratamiento de anemia con hierro polimaltosado lo cual se demuestra con la prueba estadística de Spearman siendo el 68.1% adherentes al tratamiento.","container-title":"Revista Muro de la Investigación","DOI":"10.17162/rmi.v6i2.1640","ISSN":"2523-2886","issue":"2","language":"es","license":"Derechos de autor 2021 Fanny  Mamani Garcia, Angie  Palomino Flores","note":"number: 2","page":"93-113","source":"revistas.upeu.edu.pe","title":"Factores asociados en la adherencia al tratamiento de anemia ferropénica con hierro polimaltosado en niños menores de 2 años","volume":"6","author":[{"family":"Garcia","given":"Fanny Mamani"},{"family":"Flores","given":"Angie Palomino"}],"issued":{"date-parts":[["2021",12,28]]}}}],"schema":"https://github.com/citation-style-language/schema/raw/master/csl-citation.json"}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40</w:t>
      </w:r>
      <w:r>
        <w:rPr>
          <w:rFonts w:ascii="Times New Roman" w:hAnsi="Times New Roman" w:cs="Times New Roman"/>
        </w:rPr>
        <w:fldChar w:fldCharType="end"/>
      </w:r>
      <w:r>
        <w:rPr>
          <w:rFonts w:ascii="Times New Roman" w:hAnsi="Times New Roman" w:cs="Times New Roman"/>
        </w:rPr>
        <w:t xml:space="preserve"> encontraron en su estudio una relación estadísticamente significativa entre el conocimiento de la anemia ferropénica y el tratamiento (rho =.300, p=0.001), dicho estudio también indicó que el 64.7% de las madres encuestadas presentó un nivel de conocimiento alto, resultados similares a los hallados en el presente estudio. </w:t>
      </w:r>
    </w:p>
    <w:p>
      <w:pPr>
        <w:spacing w:line="360" w:lineRule="auto"/>
        <w:jc w:val="both"/>
        <w:rPr>
          <w:rFonts w:ascii="Times New Roman" w:hAnsi="Times New Roman" w:cs="Times New Roman"/>
        </w:rPr>
      </w:pPr>
      <w:r>
        <w:rPr>
          <w:rFonts w:ascii="Times New Roman" w:hAnsi="Times New Roman" w:cs="Times New Roman"/>
        </w:rPr>
        <w:t xml:space="preserve">En contraste a los resultados obtenidos, el estudio realizado por Maldonado Quispe M. J </w:t>
      </w:r>
      <w:r>
        <w:rPr>
          <w:rFonts w:ascii="Times New Roman" w:hAnsi="Times New Roman" w:cs="Times New Roman"/>
        </w:rPr>
        <w:fldChar w:fldCharType="begin"/>
      </w:r>
      <w:r>
        <w:rPr>
          <w:rFonts w:ascii="Times New Roman" w:hAnsi="Times New Roman" w:cs="Times New Roman"/>
        </w:rPr>
        <w:instrText xml:space="preserve"> ADDIN ZOTERO_ITEM CSL_CITATION {"citationID":"bsCiWG5N","properties":{"formattedCitation":"\\super 41\\nosupersub{}","plainCitation":"41","noteIndex":0},"citationItems":[{"id":"GNOTfPg8/m0ijS8jw","uris":["http://zotero.org/users/local/6HPdQlch/items/KQWW9U88"],"itemData":{"id":402,"type":"article-journal","abstract":"La presente investigación tuvo como problema de estudio ¿Existe relación estadísticamente significativa entre el conocimiento y la adherencia al tratamiento, de la anemia ferropénica en madres con niños menores de 3 años, Marcará-2022?, siendo el objetivo general determinar la relación estadísticamente significativa entre conocimiento y adherencia al tratamiento, de la anemia ferropénica en madres con niños menores de 3 años, Marcará-2022. Investigación aplicada, correlacional, cuantitativa y transversal; con diseño de tipo no experimental y descriptivo correlacional, hipótesis: si existe relación estadísticamente significativa entre conocimiento y la adherencia al tratamiento de la anemia ferropénica en madres con niños menores de 3 años, Marcará-2022. Técnica: entrevista, instrumentos: cuestionario y guía de observación. Resultados: para el nivel de conocimiento sobre la anemia ferropénica se obtuvo que el 58,2% de las madres presentan un nivel de conocimiento “regular” y el 7,3% un nivel “bajo”; en tanto para la adherencia al tratamiento se obtuvo que el 78,2% de las madres se han adherido al tratamiento y el 21,8% no se han adherido al tratamiento. Conclusiones: mediante la prueba estadística del chi cuadrado (0.734) y la prueba de V de Cramer (0.106), se concluye que no existe relación estadísticamente significativa entre las variables de estudio","container-title":"Universidad Nacional Santiago Antúnez de Mayolo","language":"spa","license":"info:eu-repo/semantics/openAccess","note":"Accepted: 2023-06-26T17:45:35Z\npublisher: Universidad Nacional Santiago Antúnez de Mayolo","source":"renati.sunedu.gob.pe","title":"Conocimiento y adherencia al tratamiento, de anemia ferropénica en madres con niños menores de 3 años, Marcará- 2022","URL":"https://renati.sunedu.gob.pe/handle/sunedu/3413194","author":[{"family":"Jackelin","given":"Maldonado Quispe Massyel"}],"accessed":{"date-parts":[["2023",9,16]]},"issued":{"date-parts":[["2023",4,20]]}}}],"schema":"https://github.com/citation-style-language/schema/raw/master/csl-citation.json"}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41</w:t>
      </w:r>
      <w:r>
        <w:rPr>
          <w:rFonts w:ascii="Times New Roman" w:hAnsi="Times New Roman" w:cs="Times New Roman"/>
        </w:rPr>
        <w:fldChar w:fldCharType="end"/>
      </w:r>
      <w:r>
        <w:rPr>
          <w:rFonts w:ascii="Times New Roman" w:hAnsi="Times New Roman" w:cs="Times New Roman"/>
        </w:rPr>
        <w:t xml:space="preserve">, a pesar de obtener resultados similares en cuanto al porcentaje del nivel de conocimiento, este estudio realizó un análisis estadístico mediante la prueba V de Cramer, obtuvieron un valor de 0.106 concluyendo que existe una baja relación entre el nivel de conocimiento y el tratamiento de pacientes con anemia ferropénica. </w:t>
      </w:r>
    </w:p>
    <w:p>
      <w:pPr>
        <w:spacing w:line="360" w:lineRule="auto"/>
        <w:jc w:val="both"/>
        <w:rPr>
          <w:rFonts w:ascii="Times New Roman" w:hAnsi="Times New Roman" w:cs="Times New Roman"/>
        </w:rPr>
      </w:pPr>
      <w:r>
        <w:rPr>
          <w:rFonts w:ascii="Times New Roman" w:hAnsi="Times New Roman" w:cs="Times New Roman"/>
        </w:rPr>
        <w:t xml:space="preserve">Por otro lado, el estudio realizado por Sunuwar, D. R.et al </w:t>
      </w:r>
      <w:r>
        <w:rPr>
          <w:rFonts w:ascii="Times New Roman" w:hAnsi="Times New Roman" w:cs="Times New Roman"/>
        </w:rPr>
        <w:fldChar w:fldCharType="begin"/>
      </w:r>
      <w:r>
        <w:rPr>
          <w:rFonts w:ascii="Times New Roman" w:hAnsi="Times New Roman" w:cs="Times New Roman"/>
        </w:rPr>
        <w:instrText xml:space="preserve"> ADDIN ZOTERO_ITEM CSL_CITATION {"citationID":"dnb6QfTM","properties":{"formattedCitation":"\\super 42\\nosupersub{}","plainCitation":"42","noteIndex":0},"citationItems":[{"id":"GNOTfPg8/ManuW4Qe","uris":["http://zotero.org/users/local/6HPdQlch/items/I5K3PPIM"],"itemData":{"id":404,"type":"article-journal","abstract":"Background\nAnemia during pregnancy is a major public health problem globally with multiple causes including inadequate dietary intakes. The aim of the study was to assess the effect of nutrition education on nutritional knowledge, hemoglobin level and dietary intake of anemic pregnant women.\n\nMaterials and methods\nA quasi-experimental study was conducted among 115 mild to moderately anemic pregnant women attending ante natal clinics. Pregnant women were consecutively enrolled and assigned to receive nutrition education and diet plan in intervention group (n = 58) and general education only in control group (n = 57). The nutrition education was given to pregnant women on individual basis at the time of enrollment and follow-ups were done through biweekly phone calls and every 4 weeks during ANC visits. Baseline data were collected using semi-structure questionnaire for interview and hemoglobin level was also measured. Data were collected after 10 weeks of nutrition education intervention. Independent sample t-test was used to compare differences between the two groups.\n\nResults\nOut of 115 pregnant women enrolled, 107 completed the study (Intervention: 53; Control: 54). At the end of the nutrition education intervention and iron rich food based diet plan, the change in hemoglobin level was significantly high in the intervention over control group [0.56±0.40gm/dl vs. 0.16±0.82gm/dl, p = 0.002]. The change in the maternal nutritional knowledge score on anemia and iron rich foods was significantly high in the intervention over control group [8.26±4.57 vs. 1.05±6.59, p&lt;0.001].Consumption of iron rich food was significantly high in the intervention group (P&lt;0.05).\n\nConclusion\nProvision of nutrition education and iron rich food based diet plan was significantly associated with improved hemoglobin levels, improved dietary intake and nutritional knowledge on anemia and iron rich foods.","container-title":"PLoS ONE","DOI":"10.1371/journal.pone.0213982","ISSN":"1932-6203","issue":"3","journalAbbreviation":"PLoS One","note":"PMID: 30897129\nPMCID: PMC6428266","page":"e0213982","source":"PubMed Central","title":"Effect of nutrition education on hemoglobin level in pregnant women: A quasi-experimental study","title-short":"Effect of nutrition education on hemoglobin level in pregnant women","volume":"14","author":[{"family":"Sunuwar","given":"Dev Ram"},{"family":"Sangroula","given":"Raj Kumar"},{"family":"Shakya","given":"Nani Shova"},{"family":"Yadav","given":"Renu"},{"family":"Chaudhary","given":"Narendra Kumar"},{"family":"Pradhan","given":"Pranil Man Singh"}],"issued":{"date-parts":[["2019",3,21]]}}}],"schema":"https://github.com/citation-style-language/schema/raw/master/csl-citation.json"}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42</w:t>
      </w:r>
      <w:r>
        <w:rPr>
          <w:rFonts w:ascii="Times New Roman" w:hAnsi="Times New Roman" w:cs="Times New Roman"/>
        </w:rPr>
        <w:fldChar w:fldCharType="end"/>
      </w:r>
      <w:r>
        <w:rPr>
          <w:rFonts w:ascii="Times New Roman" w:hAnsi="Times New Roman" w:cs="Times New Roman"/>
        </w:rPr>
        <w:t>, respalda los resultados del presente estudio indicando que posterior a una intervención de educación nutricional y el plan de dieta basada en alimentos ricos en hierro, hubo un cambio en el nivel de hemoglobina significativamente alto en relación el grupo de control [0.56 0.40gm/dl vs. 0.16 0.82gm/dl, p = 0.002], donde además el consumo de alimentos ricos en hierro fue significativamente alto en el grupo de intervención (p&lt;0,05).</w:t>
      </w:r>
    </w:p>
    <w:p>
      <w:pPr>
        <w:spacing w:line="360" w:lineRule="auto"/>
        <w:jc w:val="both"/>
        <w:rPr>
          <w:rFonts w:ascii="Times New Roman" w:hAnsi="Times New Roman" w:cs="Times New Roman"/>
        </w:rPr>
      </w:pPr>
      <w:r>
        <w:rPr>
          <w:rFonts w:ascii="Times New Roman" w:hAnsi="Times New Roman" w:cs="Times New Roman"/>
        </w:rPr>
        <w:t xml:space="preserve">Entonces, el conocimiento materno de la anemia es importante debido a su potencial para alentar a las mujeres a tomar suplementos de hierro durante el embarazo y después del parto, lo que afecta el estado de hierro tanto de la madre como del niño. Tal como se menciona un pequeño estudio realizado en el sur de Israel </w:t>
      </w:r>
      <w:r>
        <w:rPr>
          <w:rFonts w:ascii="Times New Roman" w:hAnsi="Times New Roman" w:cs="Times New Roman"/>
        </w:rPr>
        <w:fldChar w:fldCharType="begin"/>
      </w:r>
      <w:r>
        <w:rPr>
          <w:rFonts w:ascii="Times New Roman" w:hAnsi="Times New Roman" w:cs="Times New Roman"/>
        </w:rPr>
        <w:instrText xml:space="preserve"> ADDIN ZOTERO_ITEM CSL_CITATION {"citationID":"P11SY5HW","properties":{"formattedCitation":"\\super 43\\nosupersub{}","plainCitation":"43","noteIndex":0},"citationItems":[{"id":"GNOTfPg8/TzgzOkW1","uris":["http://zotero.org/users/local/6HPdQlch/items/Q87RQQDG"],"itemData":{"id":407,"type":"article-journal","abstract":"BACKGROUND: Iron deficiency is the most prevalent anemia in infants and is known to be a major public health problem.\nOBJECTIVE: To examine mothers' knowledge and adherence with recommendations regarding iron supplementation and assess their association with the prevalence of anemia in infants.\nMETHODS: Data on 101 infants and mothers of infants born between November 2000 and February 2001 and living in a small Jewish town in southern Israel were collected using a structured questionnaire and the infants' medical charts. Anemia was defined as serum hemoglobin less than 11 g/dl. Independent variables include socioeconomic data, mothers' knowledge, and adherence to treatment as reported by them. Chi-square test was used to analyze categorical variables, t-test was used for continuous variables, and hemoglobin was tested at 9-12 months of age.\nRESULTS: Of the 101 infants in the study, 47% had serum hemoglobin under 11 g/dl. Of the mothers, 62 (62%) were partially or completely non-compliant with iron supplementation; 34 (34%) had low level of knowledge regarding anemia. Multivariate logistic regression analysis revealed a significant and inverse relationship between the presence of anemia and the level of maternal knowledge (odds ratio = 5.6, 95% confidence interval 1.6-9.7; P = 0.006) and reported adherence with iron supplementation (3.2, 1.1-9.7; P = 0.04) after controlling for confounding factors: maternal education, socioeconomic status, breastfeeding, and meat consumption.\nCONCLUSIONS: The presence of iron deficiency anemia in infants in southern Israel is inversely affected by the level of maternal knowledge of anemia and adherence to iron supplementation. Low level of knowledge is also directly related to low adherence.","container-title":"The Israel Medical Association journal: IMAJ","ISSN":"1565-1088","issue":"7","journalAbbreviation":"Isr Med Assoc J","language":"eng","note":"PMID: 17710783","page":"521-524","source":"PubMed","title":"The association between anemia in infants, and maternal knowledge and adherence to iron supplementation in southern Israel","volume":"9","author":[{"family":"Bilenko","given":"Natalya"},{"family":"Yehiel","given":"Mazal"},{"family":"Inbar","given":"Yael"},{"family":"Gazala","given":"Eli"}],"issued":{"date-parts":[["2007",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vertAlign w:val="superscript"/>
        </w:rPr>
        <w:t>43</w:t>
      </w:r>
      <w:r>
        <w:rPr>
          <w:rFonts w:ascii="Times New Roman" w:hAnsi="Times New Roman" w:cs="Times New Roman"/>
        </w:rPr>
        <w:fldChar w:fldCharType="end"/>
      </w:r>
      <w:r>
        <w:rPr>
          <w:rFonts w:ascii="Times New Roman" w:hAnsi="Times New Roman" w:cs="Times New Roman"/>
        </w:rPr>
        <w:t xml:space="preserve">, donde la presencia de anemia en lactantes y el nivel de conocimiento materno estaban inversamente relacionados, con un bajo conocimiento de la anemia que conduce a un aumento de 12 veces la prevalencia de anemia en lactantes en comparación con las mujeres con niveles más altos de conocimiento. </w:t>
      </w:r>
    </w:p>
    <w:p>
      <w:pPr>
        <w:spacing w:line="360" w:lineRule="auto"/>
        <w:jc w:val="both"/>
        <w:rPr>
          <w:rFonts w:ascii="Times New Roman" w:hAnsi="Times New Roman" w:cs="Times New Roman"/>
        </w:rPr>
      </w:pPr>
      <w:r>
        <w:rPr>
          <w:rFonts w:ascii="Times New Roman" w:hAnsi="Times New Roman" w:cs="Times New Roman"/>
        </w:rPr>
        <w:t>En este sentido, es importante tener en cuenta que la complejidad de un tema se puede utilizar para mostrar y evaluar el nivel de conocimiento de una persona. Sus niveles, óptimo o alto, regular o medio, y deficiente o bajo, definen cómo se implementa el mismo. Como resultado, la escala de valor del conocimiento se puede utilizar para evaluar qué tan bien las madres saben cómo prevenir la anemia.</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
      <w:pPr>
        <w:pStyle w:val="2"/>
        <w:rPr>
          <w:rFonts w:ascii="Times New Roman" w:hAnsi="Times New Roman" w:cs="Times New Roman"/>
          <w:b/>
          <w:bCs/>
          <w:color w:val="auto"/>
          <w:sz w:val="24"/>
          <w:szCs w:val="24"/>
        </w:rPr>
      </w:pPr>
      <w:bookmarkStart w:id="41" w:name="_Toc145737814"/>
      <w:r>
        <w:rPr>
          <w:rFonts w:ascii="Times New Roman" w:hAnsi="Times New Roman" w:cs="Times New Roman"/>
          <w:b/>
          <w:bCs/>
          <w:color w:val="auto"/>
          <w:sz w:val="24"/>
          <w:szCs w:val="24"/>
        </w:rPr>
        <w:t>CAPITULO VI: CONCLUSIONES Y RECOMENDACIONES</w:t>
      </w:r>
      <w:bookmarkEnd w:id="41"/>
    </w:p>
    <w:p/>
    <w:p>
      <w:pPr>
        <w:pStyle w:val="3"/>
        <w:rPr>
          <w:rFonts w:ascii="Times New Roman" w:hAnsi="Times New Roman" w:cs="Times New Roman"/>
          <w:b/>
          <w:bCs/>
          <w:color w:val="auto"/>
          <w:sz w:val="24"/>
          <w:szCs w:val="24"/>
        </w:rPr>
      </w:pPr>
      <w:bookmarkStart w:id="42" w:name="_Toc145737815"/>
      <w:r>
        <w:rPr>
          <w:rFonts w:ascii="Times New Roman" w:hAnsi="Times New Roman" w:cs="Times New Roman"/>
          <w:b/>
          <w:bCs/>
          <w:color w:val="auto"/>
          <w:sz w:val="24"/>
          <w:szCs w:val="24"/>
        </w:rPr>
        <w:t>6.1. CONCLUSIONES</w:t>
      </w:r>
      <w:bookmarkEnd w:id="42"/>
    </w:p>
    <w:p/>
    <w:p>
      <w:pPr>
        <w:pStyle w:val="26"/>
        <w:numPr>
          <w:ilvl w:val="0"/>
          <w:numId w:val="3"/>
        </w:numPr>
        <w:spacing w:line="360" w:lineRule="auto"/>
        <w:jc w:val="both"/>
        <w:rPr>
          <w:rFonts w:ascii="Times New Roman" w:hAnsi="Times New Roman" w:cs="Times New Roman"/>
          <w:lang w:val="es-PE"/>
        </w:rPr>
      </w:pPr>
      <w:r>
        <w:rPr>
          <w:rFonts w:ascii="Times New Roman" w:hAnsi="Times New Roman" w:cs="Times New Roman"/>
          <w:lang w:val="es-PE"/>
        </w:rPr>
        <w:t xml:space="preserve">La mayoría de las madres (52.66%) reportaron un nivel de conocimiento alto en relación con la anemia ferropénica, mientras el 24.85% de madres presentaron un nivel de conocimiento bajo.  </w:t>
      </w:r>
    </w:p>
    <w:p>
      <w:pPr>
        <w:pStyle w:val="26"/>
        <w:numPr>
          <w:ilvl w:val="0"/>
          <w:numId w:val="3"/>
        </w:numPr>
        <w:spacing w:line="360" w:lineRule="auto"/>
        <w:jc w:val="both"/>
        <w:rPr>
          <w:rFonts w:ascii="Times New Roman" w:hAnsi="Times New Roman" w:cs="Times New Roman"/>
          <w:lang w:val="es-PE"/>
        </w:rPr>
      </w:pPr>
      <w:r>
        <w:rPr>
          <w:rFonts w:ascii="Times New Roman" w:hAnsi="Times New Roman" w:cs="Times New Roman"/>
          <w:lang w:val="es-PE"/>
        </w:rPr>
        <w:t>Del total de pacientes con anemia el 60% tuvo una buena respuesta al tratamiento.</w:t>
      </w:r>
    </w:p>
    <w:p>
      <w:pPr>
        <w:pStyle w:val="26"/>
        <w:numPr>
          <w:ilvl w:val="0"/>
          <w:numId w:val="3"/>
        </w:numPr>
        <w:spacing w:line="360" w:lineRule="auto"/>
        <w:jc w:val="both"/>
        <w:rPr>
          <w:rFonts w:ascii="Times New Roman" w:hAnsi="Times New Roman" w:cs="Times New Roman"/>
          <w:lang w:val="es-PE"/>
        </w:rPr>
      </w:pPr>
      <w:r>
        <w:rPr>
          <w:rFonts w:ascii="Times New Roman" w:hAnsi="Times New Roman" w:cs="Times New Roman"/>
          <w:lang w:val="es-PE"/>
        </w:rPr>
        <w:t xml:space="preserve">El nivel de conocimiento alto se encontró asociado significativamente a una buena respuesta al tratamiento de pacientes evaluados con anemia ferropénica. </w:t>
      </w:r>
    </w:p>
    <w:p>
      <w:pPr>
        <w:pStyle w:val="26"/>
        <w:numPr>
          <w:ilvl w:val="0"/>
          <w:numId w:val="3"/>
        </w:numPr>
        <w:spacing w:line="360" w:lineRule="auto"/>
        <w:jc w:val="both"/>
        <w:rPr>
          <w:rFonts w:ascii="Times New Roman" w:hAnsi="Times New Roman" w:cs="Times New Roman"/>
          <w:lang w:val="es-PE"/>
        </w:rPr>
      </w:pPr>
      <w:r>
        <w:rPr>
          <w:rFonts w:ascii="Times New Roman" w:hAnsi="Times New Roman" w:cs="Times New Roman"/>
          <w:lang w:val="es-PE"/>
        </w:rPr>
        <w:t xml:space="preserve">El nivel de conocimiento medio se encontró asociado significativamente a una buena respuesta al tratamiento de pacientes evaluados con anemia ferropénica. </w:t>
      </w:r>
    </w:p>
    <w:p/>
    <w:p>
      <w:pPr>
        <w:pStyle w:val="3"/>
        <w:spacing w:line="360" w:lineRule="auto"/>
        <w:rPr>
          <w:rFonts w:ascii="Times New Roman" w:hAnsi="Times New Roman" w:cs="Times New Roman"/>
          <w:b/>
          <w:bCs/>
          <w:color w:val="auto"/>
          <w:sz w:val="24"/>
          <w:szCs w:val="24"/>
        </w:rPr>
      </w:pPr>
      <w:bookmarkStart w:id="43" w:name="_Toc145737816"/>
      <w:r>
        <w:rPr>
          <w:rFonts w:ascii="Times New Roman" w:hAnsi="Times New Roman" w:cs="Times New Roman"/>
          <w:b/>
          <w:bCs/>
          <w:color w:val="auto"/>
          <w:sz w:val="24"/>
          <w:szCs w:val="24"/>
        </w:rPr>
        <w:t>6.2. RECOMENDACIONES</w:t>
      </w:r>
      <w:bookmarkEnd w:id="43"/>
      <w:r>
        <w:rPr>
          <w:rFonts w:ascii="Times New Roman" w:hAnsi="Times New Roman" w:cs="Times New Roman"/>
          <w:b/>
          <w:bCs/>
          <w:color w:val="auto"/>
          <w:sz w:val="24"/>
          <w:szCs w:val="24"/>
        </w:rPr>
        <w:br w:type="textWrapping"/>
      </w:r>
    </w:p>
    <w:p>
      <w:pPr>
        <w:pStyle w:val="27"/>
        <w:numPr>
          <w:ilvl w:val="0"/>
          <w:numId w:val="7"/>
        </w:numPr>
        <w:spacing w:line="360" w:lineRule="auto"/>
        <w:rPr>
          <w:sz w:val="24"/>
          <w:szCs w:val="24"/>
        </w:rPr>
      </w:pPr>
      <w:r>
        <w:rPr>
          <w:rFonts w:ascii="Times New Roman" w:hAnsi="Times New Roman" w:cs="Times New Roman"/>
          <w:sz w:val="24"/>
          <w:szCs w:val="24"/>
        </w:rPr>
        <w:t xml:space="preserve">Se recomienda fomentar el conocimiento sobre la anemia ferropénica a las madres de los niños con la finalidad de mejorar los resultados en relación con el tratamiento </w:t>
      </w:r>
    </w:p>
    <w:p>
      <w:pPr>
        <w:pStyle w:val="27"/>
        <w:numPr>
          <w:ilvl w:val="0"/>
          <w:numId w:val="7"/>
        </w:numPr>
        <w:spacing w:line="360" w:lineRule="auto"/>
        <w:rPr>
          <w:sz w:val="24"/>
          <w:szCs w:val="24"/>
        </w:rPr>
      </w:pPr>
      <w:r>
        <w:rPr>
          <w:rFonts w:ascii="Times New Roman" w:hAnsi="Times New Roman" w:cs="Times New Roman"/>
          <w:sz w:val="24"/>
          <w:szCs w:val="24"/>
        </w:rPr>
        <w:t xml:space="preserve">Se sugiere realizar más estudios con respecto al tema, ya que hay escaza evidencia actual en relación con el tema, considerando un mayor tamaño muestral. </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rPr>
          <w:rFonts w:ascii="Times New Roman" w:hAnsi="Times New Roman" w:cs="Times New Roman"/>
          <w:b/>
          <w:bCs/>
          <w:color w:val="auto"/>
          <w:sz w:val="24"/>
          <w:szCs w:val="24"/>
        </w:rPr>
      </w:pPr>
      <w:bookmarkStart w:id="44" w:name="_Toc145737817"/>
      <w:r>
        <w:rPr>
          <w:rFonts w:ascii="Times New Roman" w:hAnsi="Times New Roman" w:cs="Times New Roman"/>
          <w:b/>
          <w:bCs/>
          <w:color w:val="auto"/>
          <w:sz w:val="24"/>
          <w:szCs w:val="24"/>
        </w:rPr>
        <w:t>REFERENCIAS BIBLIOGRÁFICAS</w:t>
      </w:r>
      <w:bookmarkEnd w:id="44"/>
    </w:p>
    <w:p>
      <w:pPr>
        <w:spacing w:line="360" w:lineRule="auto"/>
        <w:rPr>
          <w:rFonts w:ascii="Times New Roman" w:hAnsi="Times New Roman" w:cs="Times New Roman"/>
          <w:b/>
          <w:bCs/>
        </w:rPr>
      </w:pPr>
    </w:p>
    <w:p>
      <w:pPr>
        <w:pStyle w:val="28"/>
        <w:rPr>
          <w:rFonts w:ascii="Times New Roman" w:hAnsi="Times New Roman" w:cs="Times New Roman"/>
        </w:rPr>
      </w:pPr>
      <w:r>
        <w:rPr>
          <w:b/>
          <w:bCs/>
        </w:rPr>
        <w:fldChar w:fldCharType="begin"/>
      </w:r>
      <w:r>
        <w:rPr>
          <w:b/>
          <w:bCs/>
        </w:rPr>
        <w:instrText xml:space="preserve"> ADDIN ZOTERO_BIBL {"uncited":[],"omitted":[],"custom":[]} CSL_BIBLIOGRAPHY </w:instrText>
      </w:r>
      <w:r>
        <w:rPr>
          <w:b/>
          <w:bCs/>
        </w:rPr>
        <w:fldChar w:fldCharType="separate"/>
      </w:r>
      <w:r>
        <w:rPr>
          <w:rFonts w:ascii="Times New Roman" w:hAnsi="Times New Roman" w:cs="Times New Roman"/>
        </w:rPr>
        <w:t xml:space="preserve">1. </w:t>
      </w:r>
      <w:r>
        <w:rPr>
          <w:rFonts w:ascii="Times New Roman" w:hAnsi="Times New Roman" w:cs="Times New Roman"/>
        </w:rPr>
        <w:tab/>
      </w:r>
      <w:r>
        <w:rPr>
          <w:rFonts w:ascii="Times New Roman" w:hAnsi="Times New Roman" w:cs="Times New Roman"/>
        </w:rPr>
        <w:t>WHO. Anaemia [Internet]. [citado 16 de septiembre de 2023]. Disponible en: https://www.who.int/health-topics/anaemia</w:t>
      </w:r>
    </w:p>
    <w:p>
      <w:pPr>
        <w:pStyle w:val="28"/>
        <w:rPr>
          <w:rFonts w:ascii="Times New Roman" w:hAnsi="Times New Roman" w:cs="Times New Roman"/>
          <w:lang w:val="en-US"/>
        </w:rPr>
      </w:pPr>
      <w:r>
        <w:rPr>
          <w:rFonts w:ascii="Times New Roman" w:hAnsi="Times New Roman" w:cs="Times New Roman"/>
          <w:lang w:val="en-US"/>
        </w:rPr>
        <w:t xml:space="preserve">2. </w:t>
      </w:r>
      <w:r>
        <w:rPr>
          <w:rFonts w:ascii="Times New Roman" w:hAnsi="Times New Roman" w:cs="Times New Roman"/>
          <w:lang w:val="en-US"/>
        </w:rPr>
        <w:tab/>
      </w:r>
      <w:r>
        <w:rPr>
          <w:rFonts w:ascii="Times New Roman" w:hAnsi="Times New Roman" w:cs="Times New Roman"/>
          <w:lang w:val="en-US"/>
        </w:rPr>
        <w:t xml:space="preserve">Mantadakis E, Chatzimichael E, Zikidou P. Iron Deficiency Anemia in Children Residing in High and Low-Income Countries: Risk Factors, Prevention, Diagnosis and Therapy. Mediterr J Hematol Infect Dis. 2020;12(1):e2020041. </w:t>
      </w:r>
    </w:p>
    <w:p>
      <w:pPr>
        <w:pStyle w:val="28"/>
        <w:rPr>
          <w:rFonts w:ascii="Times New Roman" w:hAnsi="Times New Roman" w:cs="Times New Roman"/>
          <w:lang w:val="en-US"/>
        </w:rPr>
      </w:pPr>
      <w:r>
        <w:rPr>
          <w:rFonts w:ascii="Times New Roman" w:hAnsi="Times New Roman" w:cs="Times New Roman"/>
          <w:lang w:val="en-US"/>
        </w:rPr>
        <w:t xml:space="preserve">3. </w:t>
      </w:r>
      <w:r>
        <w:rPr>
          <w:rFonts w:ascii="Times New Roman" w:hAnsi="Times New Roman" w:cs="Times New Roman"/>
          <w:lang w:val="en-US"/>
        </w:rPr>
        <w:tab/>
      </w:r>
      <w:r>
        <w:rPr>
          <w:rFonts w:ascii="Times New Roman" w:hAnsi="Times New Roman" w:cs="Times New Roman"/>
          <w:lang w:val="en-US"/>
        </w:rPr>
        <w:t xml:space="preserve">Milovanovic T, Dragasevic S, Nikolic AN, Markovic AP, Lalosevic MS, Popovic DD, et al. Anemia as a Problem: GP Approach. Dig Dis Basel Switz. 2022;40(3):370-5. </w:t>
      </w:r>
    </w:p>
    <w:p>
      <w:pPr>
        <w:pStyle w:val="28"/>
        <w:rPr>
          <w:rFonts w:ascii="Times New Roman" w:hAnsi="Times New Roman" w:cs="Times New Roman"/>
        </w:rPr>
      </w:pPr>
      <w:r>
        <w:rPr>
          <w:rFonts w:ascii="Times New Roman" w:hAnsi="Times New Roman" w:cs="Times New Roman"/>
          <w:lang w:val="en-US"/>
        </w:rPr>
        <w:t xml:space="preserve">4. </w:t>
      </w:r>
      <w:r>
        <w:rPr>
          <w:rFonts w:ascii="Times New Roman" w:hAnsi="Times New Roman" w:cs="Times New Roman"/>
          <w:lang w:val="en-US"/>
        </w:rPr>
        <w:tab/>
      </w:r>
      <w:r>
        <w:rPr>
          <w:rFonts w:ascii="Times New Roman" w:hAnsi="Times New Roman" w:cs="Times New Roman"/>
          <w:lang w:val="en-US"/>
        </w:rPr>
        <w:t xml:space="preserve">Balcha WF, Eteffa T, Arega Tesfu A, Abeje Alemayehu B. Maternal Knowledge of Anemia and Adherence to its Prevention Strategies: A Health Facility-Based Cross-Sectional Study Design. </w:t>
      </w:r>
      <w:r>
        <w:rPr>
          <w:rFonts w:ascii="Times New Roman" w:hAnsi="Times New Roman" w:cs="Times New Roman"/>
        </w:rPr>
        <w:t xml:space="preserve">Inq J Med Care Organ Provis Financ. 19 de abril de 2023;60:00469580231167731. </w:t>
      </w:r>
    </w:p>
    <w:p>
      <w:pPr>
        <w:pStyle w:val="28"/>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r>
      <w:r>
        <w:rPr>
          <w:rFonts w:ascii="Times New Roman" w:hAnsi="Times New Roman" w:cs="Times New Roman"/>
        </w:rPr>
        <w:t>Plan_nacional_para_la_reducción_y_control_de_la_anemia_materno_infantil_y_la_desnutrición_crónica_infantil_en_el_Perú__2017___2021._Documento_técnico20190621-17253-s9ub98.pdf [Internet]. [citado 4 de julio de 2023]. Disponible en: https://cdn.www.gob.pe/uploads/document/file/322898/Plan_nacional_para_la_reducci%C3%B3n_y_control_de_la_anemia_materno_infantil_y_la_desnutrici%C3%B3n_cr%C3%B3nica_infantil_en_el_Per%C3%BA__2017___2021._Documento_t%C3%A9cnico20190621-17253-s9ub98.pdf?v=1561140241</w:t>
      </w:r>
    </w:p>
    <w:p>
      <w:pPr>
        <w:pStyle w:val="28"/>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rPr>
        <w:t xml:space="preserve">Soncco-Sucapuca M, Brousett-Minaya MA, Pumacahua-Ramos A. Impacto de un programa educativo incluyendo un pan fortificado para reducir los niveles de anemia en niños escolares de Yocará, Puno -Perú. Rev Investig Altoandinas. enero de 2018;20(1):73-84. </w:t>
      </w:r>
    </w:p>
    <w:p>
      <w:pPr>
        <w:pStyle w:val="28"/>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r>
      <w:r>
        <w:rPr>
          <w:rFonts w:ascii="Times New Roman" w:hAnsi="Times New Roman" w:cs="Times New Roman"/>
        </w:rPr>
        <w:t>Deficiencia de hierro y anemia ferropénica. Guía para su prevención, diagnóstico y tratamiento. Texto completo. Arch Argent Pediatr [Internet]. 1 de agosto de 2017 [citado 28 de noviembre de 2022];115(04). Disponible en: http://www.sap.org.ar/docs/publicaciones/archivosarg/2017/v115n4a32s.pdf</w:t>
      </w:r>
    </w:p>
    <w:p>
      <w:pPr>
        <w:pStyle w:val="28"/>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 xml:space="preserve">Carrero CM, Oróstegui MA, Escorcia LR, Arrieta DB. Anemia infantil: desarrollo cognitivo y rendimiento académico. Arch Venez Farmacol Ter. 2018;37(4):411-26. </w:t>
      </w:r>
    </w:p>
    <w:p>
      <w:pPr>
        <w:pStyle w:val="28"/>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Águila-Villar C del, Chávez-Tejada E, Romero-Guzmán A, Román-Blas Z, Núñez-Almache O. ANEMIA EN LA POBLACIÓN PEDIÁTRICA DEL PERÚ. Rev Fac Med Humana [Internet]. 2016 [citado 28 de noviembre de 2022];16(3). Disponible en: http://revistas.urp.edu.pe/index.php/RFMH/article/view/672</w:t>
      </w:r>
    </w:p>
    <w:p>
      <w:pPr>
        <w:pStyle w:val="28"/>
        <w:rPr>
          <w:rFonts w:ascii="Times New Roman" w:hAnsi="Times New Roman" w:cs="Times New Roman"/>
        </w:rPr>
      </w:pPr>
      <w:r>
        <w:rPr>
          <w:rFonts w:ascii="Times New Roman" w:hAnsi="Times New Roman" w:cs="Times New Roman"/>
          <w:lang w:val="en-US"/>
        </w:rPr>
        <w:t xml:space="preserve">10. </w:t>
      </w:r>
      <w:r>
        <w:rPr>
          <w:rFonts w:ascii="Times New Roman" w:hAnsi="Times New Roman" w:cs="Times New Roman"/>
          <w:lang w:val="en-US"/>
        </w:rPr>
        <w:tab/>
      </w:r>
      <w:r>
        <w:rPr>
          <w:rFonts w:ascii="Times New Roman" w:hAnsi="Times New Roman" w:cs="Times New Roman"/>
          <w:lang w:val="en-US"/>
        </w:rPr>
        <w:t xml:space="preserve">Wang F, Liu H, Wan Y, Li J, Chen Y, Zheng J, et al. Prolonged Exclusive Breastfeeding Duration Is Positively Associated with Risk of Anemia in Infants Aged 12 Months. </w:t>
      </w:r>
      <w:r>
        <w:rPr>
          <w:rFonts w:ascii="Times New Roman" w:hAnsi="Times New Roman" w:cs="Times New Roman"/>
        </w:rPr>
        <w:t xml:space="preserve">J Nutr. septiembre de 2016;146(9):1707-13. </w:t>
      </w:r>
    </w:p>
    <w:p>
      <w:pPr>
        <w:pStyle w:val="28"/>
        <w:rPr>
          <w:rFonts w:ascii="Times New Roman" w:hAnsi="Times New Roman" w:cs="Times New Roman"/>
        </w:rPr>
      </w:pPr>
      <w:r>
        <w:rPr>
          <w:rFonts w:ascii="Times New Roman" w:hAnsi="Times New Roman" w:cs="Times New Roman"/>
        </w:rPr>
        <w:t xml:space="preserve">11. </w:t>
      </w:r>
      <w:r>
        <w:rPr>
          <w:rFonts w:ascii="Times New Roman" w:hAnsi="Times New Roman" w:cs="Times New Roman"/>
        </w:rPr>
        <w:tab/>
      </w:r>
      <w:r>
        <w:rPr>
          <w:rFonts w:ascii="Times New Roman" w:hAnsi="Times New Roman" w:cs="Times New Roman"/>
        </w:rPr>
        <w:t xml:space="preserve">Robles BN, James AB, Macri R, Xiong M, Jafri S, Vitale A, et al. </w:t>
      </w:r>
      <w:r>
        <w:rPr>
          <w:rFonts w:ascii="Times New Roman" w:hAnsi="Times New Roman" w:cs="Times New Roman"/>
          <w:lang w:val="en-US"/>
        </w:rPr>
        <w:t xml:space="preserve">Prevalence of Anemia in Preschool Aged Children Living in Dominica. </w:t>
      </w:r>
      <w:r>
        <w:rPr>
          <w:rFonts w:ascii="Times New Roman" w:hAnsi="Times New Roman" w:cs="Times New Roman"/>
        </w:rPr>
        <w:t>J Pediatr Care [Internet]. 15 de agosto de 2017 [citado 5 de julio de 2023];3(3). Disponible en: https://pediatrics.imedpub.com/abstract/prevalence-of-anemia-in-preschool-aged-children-living-in-dominica-20216.html</w:t>
      </w:r>
    </w:p>
    <w:p>
      <w:pPr>
        <w:pStyle w:val="28"/>
        <w:rPr>
          <w:rFonts w:ascii="Times New Roman" w:hAnsi="Times New Roman" w:cs="Times New Roman"/>
          <w:lang w:val="en-US"/>
        </w:rPr>
      </w:pPr>
      <w:r>
        <w:rPr>
          <w:rFonts w:ascii="Times New Roman" w:hAnsi="Times New Roman" w:cs="Times New Roman"/>
        </w:rPr>
        <w:t xml:space="preserve">12. </w:t>
      </w:r>
      <w:r>
        <w:rPr>
          <w:rFonts w:ascii="Times New Roman" w:hAnsi="Times New Roman" w:cs="Times New Roman"/>
        </w:rPr>
        <w:tab/>
      </w:r>
      <w:r>
        <w:rPr>
          <w:rFonts w:ascii="Times New Roman" w:hAnsi="Times New Roman" w:cs="Times New Roman"/>
        </w:rPr>
        <w:t xml:space="preserve">Riahi SM, Mohammadi M, Fakhri Y, Pordanjani SR, Soleimani F, Saadati HM. </w:t>
      </w:r>
      <w:r>
        <w:rPr>
          <w:rFonts w:ascii="Times New Roman" w:hAnsi="Times New Roman" w:cs="Times New Roman"/>
          <w:lang w:val="en-US"/>
        </w:rPr>
        <w:t xml:space="preserve">Prevalence and determinant factors of anemia in children aged 6-12 months after starting an iron supplement in the east of Iran. Arch Pediatr Organe Off Soc Francaise Pediatr. septiembre de 2019;26(6):347-51. </w:t>
      </w:r>
    </w:p>
    <w:p>
      <w:pPr>
        <w:pStyle w:val="28"/>
        <w:rPr>
          <w:rFonts w:ascii="Times New Roman" w:hAnsi="Times New Roman" w:cs="Times New Roman"/>
        </w:rPr>
      </w:pPr>
      <w:r>
        <w:rPr>
          <w:rFonts w:ascii="Times New Roman" w:hAnsi="Times New Roman" w:cs="Times New Roman"/>
          <w:lang w:val="en-US"/>
        </w:rPr>
        <w:t xml:space="preserve">13. </w:t>
      </w:r>
      <w:r>
        <w:rPr>
          <w:rFonts w:ascii="Times New Roman" w:hAnsi="Times New Roman" w:cs="Times New Roman"/>
          <w:lang w:val="en-US"/>
        </w:rPr>
        <w:tab/>
      </w:r>
      <w:r>
        <w:rPr>
          <w:rFonts w:ascii="Times New Roman" w:hAnsi="Times New Roman" w:cs="Times New Roman"/>
          <w:lang w:val="en-US"/>
        </w:rPr>
        <w:t xml:space="preserve">Clark KM, Li M, Zhu B, Liang F, Shao J, Zhang Y, et al. Breastfeeding, Mixed, or Formula Feeding at 9 Months of Age and the Prevalence of Iron Deficiency and Iron Deficiency Anemia in Two Cohorts of Infants in China. </w:t>
      </w:r>
      <w:r>
        <w:rPr>
          <w:rFonts w:ascii="Times New Roman" w:hAnsi="Times New Roman" w:cs="Times New Roman"/>
        </w:rPr>
        <w:t xml:space="preserve">J Pediatr. febrero de 2017;181:56-61. </w:t>
      </w:r>
    </w:p>
    <w:p>
      <w:pPr>
        <w:pStyle w:val="28"/>
        <w:rPr>
          <w:rFonts w:ascii="Times New Roman" w:hAnsi="Times New Roman" w:cs="Times New Roman"/>
        </w:rPr>
      </w:pPr>
      <w:r>
        <w:rPr>
          <w:rFonts w:ascii="Times New Roman" w:hAnsi="Times New Roman" w:cs="Times New Roman"/>
        </w:rPr>
        <w:t xml:space="preserve">14. </w:t>
      </w:r>
      <w:r>
        <w:rPr>
          <w:rFonts w:ascii="Times New Roman" w:hAnsi="Times New Roman" w:cs="Times New Roman"/>
        </w:rPr>
        <w:tab/>
      </w:r>
      <w:r>
        <w:rPr>
          <w:rFonts w:ascii="Times New Roman" w:hAnsi="Times New Roman" w:cs="Times New Roman"/>
        </w:rPr>
        <w:t xml:space="preserve">Galo V, Mejía M. Incidencia de parasitosis intestinal en escolares que residen en los bordos de San Pedro Sula, Cortés, Honduras. 2020;40. </w:t>
      </w:r>
    </w:p>
    <w:p>
      <w:pPr>
        <w:pStyle w:val="28"/>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ab/>
      </w:r>
      <w:r>
        <w:rPr>
          <w:rFonts w:ascii="Times New Roman" w:hAnsi="Times New Roman" w:cs="Times New Roman"/>
        </w:rPr>
        <w:t xml:space="preserve">Leal LP, Batista Filho M, Lira PIC de, Figueiroa JN, Osório MM. Prevalencia de la anemia y factores asociados en niños de seis a 59 meses de Pernambuco, Noreste de Brasil. Rev Saúde Pública. junio de 2011;45:457-66. </w:t>
      </w:r>
    </w:p>
    <w:p>
      <w:pPr>
        <w:pStyle w:val="28"/>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ab/>
      </w:r>
      <w:r>
        <w:rPr>
          <w:rFonts w:ascii="Times New Roman" w:hAnsi="Times New Roman" w:cs="Times New Roman"/>
        </w:rPr>
        <w:t>Alfonso L, Arango D, Argoty D, Ramírez L, Rodríguez J. Anemia ferropénica en la población escolar de Colombia. Una revisión de la literatura. Biociencias [Internet]. 2017 [citado 28 de noviembre de 2022];1(3). Disponible en: https://hemeroteca.unad.edu.co/index.php/Biociencias/article/view/2236</w:t>
      </w:r>
    </w:p>
    <w:p>
      <w:pPr>
        <w:pStyle w:val="28"/>
        <w:rPr>
          <w:rFonts w:ascii="Times New Roman" w:hAnsi="Times New Roman" w:cs="Times New Roman"/>
        </w:rPr>
      </w:pPr>
      <w:r>
        <w:rPr>
          <w:rFonts w:ascii="Times New Roman" w:hAnsi="Times New Roman" w:cs="Times New Roman"/>
          <w:lang w:val="en-US"/>
        </w:rPr>
        <w:t xml:space="preserve">17. </w:t>
      </w:r>
      <w:r>
        <w:rPr>
          <w:rFonts w:ascii="Times New Roman" w:hAnsi="Times New Roman" w:cs="Times New Roman"/>
          <w:lang w:val="en-US"/>
        </w:rPr>
        <w:tab/>
      </w:r>
      <w:r>
        <w:rPr>
          <w:rFonts w:ascii="Times New Roman" w:hAnsi="Times New Roman" w:cs="Times New Roman"/>
          <w:lang w:val="en-US"/>
        </w:rPr>
        <w:t xml:space="preserve">Jullien S. Screening of iron deficiency anaemia in early childhood. </w:t>
      </w:r>
      <w:r>
        <w:rPr>
          <w:rFonts w:ascii="Times New Roman" w:hAnsi="Times New Roman" w:cs="Times New Roman"/>
        </w:rPr>
        <w:t xml:space="preserve">BMC Pediatr. 8 de septiembre de 2021;21(Suppl 1):337. </w:t>
      </w:r>
    </w:p>
    <w:p>
      <w:pPr>
        <w:pStyle w:val="28"/>
        <w:rPr>
          <w:rFonts w:ascii="Times New Roman" w:hAnsi="Times New Roman" w:cs="Times New Roman"/>
        </w:rPr>
      </w:pPr>
      <w:r>
        <w:rPr>
          <w:rFonts w:ascii="Times New Roman" w:hAnsi="Times New Roman" w:cs="Times New Roman"/>
        </w:rPr>
        <w:t xml:space="preserve">18. </w:t>
      </w:r>
      <w:r>
        <w:rPr>
          <w:rFonts w:ascii="Times New Roman" w:hAnsi="Times New Roman" w:cs="Times New Roman"/>
        </w:rPr>
        <w:tab/>
      </w:r>
      <w:r>
        <w:rPr>
          <w:rFonts w:ascii="Times New Roman" w:hAnsi="Times New Roman" w:cs="Times New Roman"/>
        </w:rPr>
        <w:t xml:space="preserve">Tacuchi BEM, Elí D, Tarazona BER, Patricia L, Albornoz BES, Deisy K. PARA OPTAR EL TÍTULO PROFESIONAL DE LICENCIADO(A) EN ENFERMERÍA. </w:t>
      </w:r>
    </w:p>
    <w:p>
      <w:pPr>
        <w:pStyle w:val="28"/>
        <w:rPr>
          <w:rFonts w:ascii="Times New Roman" w:hAnsi="Times New Roman" w:cs="Times New Roman"/>
        </w:rPr>
      </w:pPr>
      <w:r>
        <w:rPr>
          <w:rFonts w:ascii="Times New Roman" w:hAnsi="Times New Roman" w:cs="Times New Roman"/>
        </w:rPr>
        <w:t xml:space="preserve">19. </w:t>
      </w:r>
      <w:r>
        <w:rPr>
          <w:rFonts w:ascii="Times New Roman" w:hAnsi="Times New Roman" w:cs="Times New Roman"/>
        </w:rPr>
        <w:tab/>
      </w:r>
      <w:r>
        <w:rPr>
          <w:rFonts w:ascii="Times New Roman" w:hAnsi="Times New Roman" w:cs="Times New Roman"/>
        </w:rPr>
        <w:t xml:space="preserve">Urquizo Aréstegui R. Qué hacer frente a la anemia materna y perinatal. Rev Peru Ginecol Obstet. octubre de 2019;65(4):423-5. </w:t>
      </w:r>
    </w:p>
    <w:p>
      <w:pPr>
        <w:pStyle w:val="28"/>
        <w:rPr>
          <w:rFonts w:ascii="Times New Roman" w:hAnsi="Times New Roman" w:cs="Times New Roman"/>
        </w:rPr>
      </w:pPr>
      <w:r>
        <w:rPr>
          <w:rFonts w:ascii="Times New Roman" w:hAnsi="Times New Roman" w:cs="Times New Roman"/>
        </w:rPr>
        <w:t xml:space="preserve">20. </w:t>
      </w:r>
      <w:r>
        <w:rPr>
          <w:rFonts w:ascii="Times New Roman" w:hAnsi="Times New Roman" w:cs="Times New Roman"/>
        </w:rPr>
        <w:tab/>
      </w:r>
      <w:r>
        <w:rPr>
          <w:rFonts w:ascii="Times New Roman" w:hAnsi="Times New Roman" w:cs="Times New Roman"/>
        </w:rPr>
        <w:t xml:space="preserve">Hernández-Vásquez A, Peñares-Peñaloza M, Rebatta-Acuña A, Carrasco-Farfan C, Bordón-Luján C, Santero M, et al. ¿Es la anemia un problema de salud pública entre los menores de cinco años en el Perú? Análisis de una base de datos administrativa nacional de salud (2012 y 2016) empleando Sistemas de Información Geográfica. Rev Chil Nutr. diciembre de 2019;46(6):718-26. </w:t>
      </w:r>
    </w:p>
    <w:p>
      <w:pPr>
        <w:pStyle w:val="28"/>
        <w:rPr>
          <w:rFonts w:ascii="Times New Roman" w:hAnsi="Times New Roman" w:cs="Times New Roman"/>
        </w:rPr>
      </w:pPr>
      <w:r>
        <w:rPr>
          <w:rFonts w:ascii="Times New Roman" w:hAnsi="Times New Roman" w:cs="Times New Roman"/>
        </w:rPr>
        <w:t xml:space="preserve">21. </w:t>
      </w:r>
      <w:r>
        <w:rPr>
          <w:rFonts w:ascii="Times New Roman" w:hAnsi="Times New Roman" w:cs="Times New Roman"/>
        </w:rPr>
        <w:tab/>
      </w:r>
      <w:r>
        <w:rPr>
          <w:rFonts w:ascii="Times New Roman" w:hAnsi="Times New Roman" w:cs="Times New Roman"/>
        </w:rPr>
        <w:t>Vásquez Chacaliaza LAA. Características y factores relacionados a la anemia en niños menores a 5 años, ENDES 2019. Univ Ricardo Palma [Internet]. 2021 [citado 28 de noviembre de 2022]; Disponible en: https://repositorio.urp.edu.pe/handle/20.500.14138/3719</w:t>
      </w:r>
    </w:p>
    <w:p>
      <w:pPr>
        <w:pStyle w:val="28"/>
        <w:rPr>
          <w:rFonts w:ascii="Times New Roman" w:hAnsi="Times New Roman" w:cs="Times New Roman"/>
        </w:rPr>
      </w:pPr>
      <w:r>
        <w:rPr>
          <w:rFonts w:ascii="Times New Roman" w:hAnsi="Times New Roman" w:cs="Times New Roman"/>
        </w:rPr>
        <w:t xml:space="preserve">22. </w:t>
      </w:r>
      <w:r>
        <w:rPr>
          <w:rFonts w:ascii="Times New Roman" w:hAnsi="Times New Roman" w:cs="Times New Roman"/>
        </w:rPr>
        <w:tab/>
      </w:r>
      <w:r>
        <w:rPr>
          <w:rFonts w:ascii="Times New Roman" w:hAnsi="Times New Roman" w:cs="Times New Roman"/>
        </w:rPr>
        <w:t xml:space="preserve">Zavaleta N, Astete-Robilliard L. Efecto de la anemia en el desarrollo infantil: consecuencias a largo plazo. Rev Peru Med Exp Salud Pública. 26 de diciembre de 2017;716-22. </w:t>
      </w:r>
    </w:p>
    <w:p>
      <w:pPr>
        <w:pStyle w:val="28"/>
        <w:rPr>
          <w:rFonts w:ascii="Times New Roman" w:hAnsi="Times New Roman" w:cs="Times New Roman"/>
        </w:rPr>
      </w:pPr>
      <w:r>
        <w:rPr>
          <w:rFonts w:ascii="Times New Roman" w:hAnsi="Times New Roman" w:cs="Times New Roman"/>
        </w:rPr>
        <w:t xml:space="preserve">23. </w:t>
      </w:r>
      <w:r>
        <w:rPr>
          <w:rFonts w:ascii="Times New Roman" w:hAnsi="Times New Roman" w:cs="Times New Roman"/>
        </w:rPr>
        <w:tab/>
      </w:r>
      <w:r>
        <w:rPr>
          <w:rFonts w:ascii="Times New Roman" w:hAnsi="Times New Roman" w:cs="Times New Roman"/>
        </w:rPr>
        <w:t xml:space="preserve">Larrea Gandhi EH Carlos. FACTORES MATERNO-INFANTILES ASOCIADOS A ANEMIA FERROPÉNICA EN INFANTES DE 6 A 36 MESES EN PERÚ DURANTE EL AÑO 2019. :77. </w:t>
      </w:r>
    </w:p>
    <w:p>
      <w:pPr>
        <w:pStyle w:val="28"/>
        <w:rPr>
          <w:rFonts w:ascii="Times New Roman" w:hAnsi="Times New Roman" w:cs="Times New Roman"/>
        </w:rPr>
      </w:pPr>
      <w:r>
        <w:rPr>
          <w:rFonts w:ascii="Times New Roman" w:hAnsi="Times New Roman" w:cs="Times New Roman"/>
        </w:rPr>
        <w:t xml:space="preserve">24. </w:t>
      </w:r>
      <w:r>
        <w:rPr>
          <w:rFonts w:ascii="Times New Roman" w:hAnsi="Times New Roman" w:cs="Times New Roman"/>
        </w:rPr>
        <w:tab/>
      </w:r>
      <w:r>
        <w:rPr>
          <w:rFonts w:ascii="Times New Roman" w:hAnsi="Times New Roman" w:cs="Times New Roman"/>
        </w:rPr>
        <w:t xml:space="preserve">Romero IH. Relevancia de la intervención educativa como factor preventivo de la anemia en niños entre 6 y 36 meses: el caso del área urbano marginal de flor de amancaes, lima, perú. Vox Juris. 11 de julio de 2019;37(2):143-54. </w:t>
      </w:r>
    </w:p>
    <w:p>
      <w:pPr>
        <w:pStyle w:val="28"/>
        <w:rPr>
          <w:rFonts w:ascii="Times New Roman" w:hAnsi="Times New Roman" w:cs="Times New Roman"/>
        </w:rPr>
      </w:pPr>
      <w:r>
        <w:rPr>
          <w:rFonts w:ascii="Times New Roman" w:hAnsi="Times New Roman" w:cs="Times New Roman"/>
        </w:rPr>
        <w:t xml:space="preserve">25. </w:t>
      </w:r>
      <w:r>
        <w:rPr>
          <w:rFonts w:ascii="Times New Roman" w:hAnsi="Times New Roman" w:cs="Times New Roman"/>
        </w:rPr>
        <w:tab/>
      </w:r>
      <w:r>
        <w:rPr>
          <w:rFonts w:ascii="Times New Roman" w:hAnsi="Times New Roman" w:cs="Times New Roman"/>
        </w:rPr>
        <w:t xml:space="preserve">Romaní KJO, Montalvo YJO, Encarnación JRE, Rosa LN de la, Velásquez CAJ. Análisis del modelo multicausal sobre el nivel de la anemia en niños de 6 a 35 meses en Perú. Enferm Glob. 8 de octubre de 2021;20(4):426-55. </w:t>
      </w:r>
    </w:p>
    <w:p>
      <w:pPr>
        <w:pStyle w:val="28"/>
        <w:rPr>
          <w:rFonts w:ascii="Times New Roman" w:hAnsi="Times New Roman" w:cs="Times New Roman"/>
        </w:rPr>
      </w:pPr>
      <w:r>
        <w:rPr>
          <w:rFonts w:ascii="Times New Roman" w:hAnsi="Times New Roman" w:cs="Times New Roman"/>
        </w:rPr>
        <w:t xml:space="preserve">26. </w:t>
      </w:r>
      <w:r>
        <w:rPr>
          <w:rFonts w:ascii="Times New Roman" w:hAnsi="Times New Roman" w:cs="Times New Roman"/>
        </w:rPr>
        <w:tab/>
      </w:r>
      <w:r>
        <w:rPr>
          <w:rFonts w:ascii="Times New Roman" w:hAnsi="Times New Roman" w:cs="Times New Roman"/>
        </w:rPr>
        <w:t>Bartra Rios JL. Factores de riesgo asociados a la anemia ferropénica en niños menores de 5 años del Hospital II EsSalud Tarapoto. Agosto – diciembre 2019. Univ Nac San Martín - Tarapoto [Internet]. 2020 [citado 18 de octubre de 2021]; Disponible en: http://repositorio.unsm.edu.pe/handle/11458/3687</w:t>
      </w:r>
    </w:p>
    <w:p>
      <w:pPr>
        <w:pStyle w:val="28"/>
        <w:rPr>
          <w:rFonts w:ascii="Times New Roman" w:hAnsi="Times New Roman" w:cs="Times New Roman"/>
        </w:rPr>
      </w:pPr>
      <w:r>
        <w:rPr>
          <w:rFonts w:ascii="Times New Roman" w:hAnsi="Times New Roman" w:cs="Times New Roman"/>
        </w:rPr>
        <w:t xml:space="preserve">27. </w:t>
      </w:r>
      <w:r>
        <w:rPr>
          <w:rFonts w:ascii="Times New Roman" w:hAnsi="Times New Roman" w:cs="Times New Roman"/>
        </w:rPr>
        <w:tab/>
      </w:r>
      <w:r>
        <w:rPr>
          <w:rFonts w:ascii="Times New Roman" w:hAnsi="Times New Roman" w:cs="Times New Roman"/>
        </w:rPr>
        <w:t>Anemia [Internet]. [citado 14 de julio de 2023]. Disponible en: https://www.who.int/es/health-topics/anaemia</w:t>
      </w:r>
    </w:p>
    <w:p>
      <w:pPr>
        <w:pStyle w:val="28"/>
        <w:rPr>
          <w:rFonts w:ascii="Times New Roman" w:hAnsi="Times New Roman" w:cs="Times New Roman"/>
        </w:rPr>
      </w:pPr>
      <w:r>
        <w:rPr>
          <w:rFonts w:ascii="Times New Roman" w:hAnsi="Times New Roman" w:cs="Times New Roman"/>
          <w:lang w:val="en-US"/>
        </w:rPr>
        <w:t xml:space="preserve">28. </w:t>
      </w:r>
      <w:r>
        <w:rPr>
          <w:rFonts w:ascii="Times New Roman" w:hAnsi="Times New Roman" w:cs="Times New Roman"/>
          <w:lang w:val="en-US"/>
        </w:rPr>
        <w:tab/>
      </w:r>
      <w:r>
        <w:rPr>
          <w:rFonts w:ascii="Times New Roman" w:hAnsi="Times New Roman" w:cs="Times New Roman"/>
          <w:lang w:val="en-US"/>
        </w:rPr>
        <w:t xml:space="preserve">Marton I, Agócs S, Babik B. [Epidemiology of anemia]. </w:t>
      </w:r>
      <w:r>
        <w:rPr>
          <w:rFonts w:ascii="Times New Roman" w:hAnsi="Times New Roman" w:cs="Times New Roman"/>
        </w:rPr>
        <w:t xml:space="preserve">Orv Hetil. septiembre de 2020;161(37):1569-73. </w:t>
      </w:r>
    </w:p>
    <w:p>
      <w:pPr>
        <w:pStyle w:val="28"/>
        <w:rPr>
          <w:rFonts w:ascii="Times New Roman" w:hAnsi="Times New Roman" w:cs="Times New Roman"/>
        </w:rPr>
      </w:pPr>
      <w:r>
        <w:rPr>
          <w:rFonts w:ascii="Times New Roman" w:hAnsi="Times New Roman" w:cs="Times New Roman"/>
        </w:rPr>
        <w:t xml:space="preserve">29. </w:t>
      </w:r>
      <w:r>
        <w:rPr>
          <w:rFonts w:ascii="Times New Roman" w:hAnsi="Times New Roman" w:cs="Times New Roman"/>
        </w:rPr>
        <w:tab/>
      </w:r>
      <w:r>
        <w:rPr>
          <w:rFonts w:ascii="Times New Roman" w:hAnsi="Times New Roman" w:cs="Times New Roman"/>
        </w:rPr>
        <w:t xml:space="preserve">Merino AH, Baviera LCB, García HG, Molpeceres RG, Rodríguez EU, Bravo AC, et al. Temas de Formación Continuada. :87. </w:t>
      </w:r>
    </w:p>
    <w:p>
      <w:pPr>
        <w:pStyle w:val="28"/>
        <w:rPr>
          <w:rFonts w:ascii="Times New Roman" w:hAnsi="Times New Roman" w:cs="Times New Roman"/>
        </w:rPr>
      </w:pPr>
      <w:r>
        <w:rPr>
          <w:rFonts w:ascii="Times New Roman" w:hAnsi="Times New Roman" w:cs="Times New Roman"/>
        </w:rPr>
        <w:t xml:space="preserve">30. </w:t>
      </w:r>
      <w:r>
        <w:rPr>
          <w:rFonts w:ascii="Times New Roman" w:hAnsi="Times New Roman" w:cs="Times New Roman"/>
        </w:rPr>
        <w:tab/>
      </w:r>
      <w:r>
        <w:rPr>
          <w:rFonts w:ascii="Times New Roman" w:hAnsi="Times New Roman" w:cs="Times New Roman"/>
        </w:rPr>
        <w:t xml:space="preserve">Vaivada T, Gaffey MF, Bhutta ZA. </w:t>
      </w:r>
      <w:r>
        <w:rPr>
          <w:rFonts w:ascii="Times New Roman" w:hAnsi="Times New Roman" w:cs="Times New Roman"/>
          <w:lang w:val="en-US"/>
        </w:rPr>
        <w:t xml:space="preserve">Promoting Early Child Development With Interventions in Health and Nutrition: A Systematic Review. </w:t>
      </w:r>
      <w:r>
        <w:rPr>
          <w:rFonts w:ascii="Times New Roman" w:hAnsi="Times New Roman" w:cs="Times New Roman"/>
        </w:rPr>
        <w:t xml:space="preserve">Pediatrics. agosto de 2017;140(2):e20164308. </w:t>
      </w:r>
    </w:p>
    <w:p>
      <w:pPr>
        <w:pStyle w:val="28"/>
        <w:rPr>
          <w:rFonts w:ascii="Times New Roman" w:hAnsi="Times New Roman" w:cs="Times New Roman"/>
          <w:lang w:val="en-US"/>
        </w:rPr>
      </w:pPr>
      <w:r>
        <w:rPr>
          <w:rFonts w:ascii="Times New Roman" w:hAnsi="Times New Roman" w:cs="Times New Roman"/>
        </w:rPr>
        <w:t xml:space="preserve">31. </w:t>
      </w:r>
      <w:r>
        <w:rPr>
          <w:rFonts w:ascii="Times New Roman" w:hAnsi="Times New Roman" w:cs="Times New Roman"/>
        </w:rPr>
        <w:tab/>
      </w:r>
      <w:r>
        <w:rPr>
          <w:rFonts w:ascii="Times New Roman" w:hAnsi="Times New Roman" w:cs="Times New Roman"/>
        </w:rPr>
        <w:t xml:space="preserve">Velásquez-Hurtado JE, Rodríguez Y, Gonzáles M, Astete-Robilliard L, Loyola-Romaní J, Vigo WE, et al. </w:t>
      </w:r>
      <w:r>
        <w:rPr>
          <w:rFonts w:ascii="Times New Roman" w:hAnsi="Times New Roman" w:cs="Times New Roman"/>
          <w:lang w:val="en-US"/>
        </w:rPr>
        <w:t xml:space="preserve">Factors associated with anemia in children under three years of age in Perú: analysis of the Encuesta Demográfica y de Salud Familiar, ENDES, 2007-2013. Biomédica. 1 de junio de 2016;36(2):220-9. </w:t>
      </w:r>
    </w:p>
    <w:p>
      <w:pPr>
        <w:pStyle w:val="28"/>
        <w:rPr>
          <w:rFonts w:ascii="Times New Roman" w:hAnsi="Times New Roman" w:cs="Times New Roman"/>
        </w:rPr>
      </w:pPr>
      <w:r>
        <w:rPr>
          <w:rFonts w:ascii="Times New Roman" w:hAnsi="Times New Roman" w:cs="Times New Roman"/>
          <w:lang w:val="en-US"/>
        </w:rPr>
        <w:t xml:space="preserve">32. </w:t>
      </w:r>
      <w:r>
        <w:rPr>
          <w:rFonts w:ascii="Times New Roman" w:hAnsi="Times New Roman" w:cs="Times New Roman"/>
          <w:lang w:val="en-US"/>
        </w:rPr>
        <w:tab/>
      </w:r>
      <w:r>
        <w:rPr>
          <w:rFonts w:ascii="Times New Roman" w:hAnsi="Times New Roman" w:cs="Times New Roman"/>
          <w:lang w:val="en-US"/>
        </w:rPr>
        <w:t xml:space="preserve">Yarparvar A, Jewell JM, Al-Jawaldeh A. Regional Overview on Maternal and Child Nutrition and Examples of Nutrition Governance and Policy Responses: Europe, Central Asia and Eastern Mediterranean Regions. </w:t>
      </w:r>
      <w:r>
        <w:rPr>
          <w:rFonts w:ascii="Times New Roman" w:hAnsi="Times New Roman" w:cs="Times New Roman"/>
        </w:rPr>
        <w:t xml:space="preserve">Ann Nutr Metab. 2019;75(2):135-8. </w:t>
      </w:r>
    </w:p>
    <w:p>
      <w:pPr>
        <w:pStyle w:val="28"/>
        <w:rPr>
          <w:rFonts w:ascii="Times New Roman" w:hAnsi="Times New Roman" w:cs="Times New Roman"/>
        </w:rPr>
      </w:pPr>
      <w:r>
        <w:rPr>
          <w:rFonts w:ascii="Times New Roman" w:hAnsi="Times New Roman" w:cs="Times New Roman"/>
        </w:rPr>
        <w:t xml:space="preserve">33. </w:t>
      </w:r>
      <w:r>
        <w:rPr>
          <w:rFonts w:ascii="Times New Roman" w:hAnsi="Times New Roman" w:cs="Times New Roman"/>
        </w:rPr>
        <w:tab/>
      </w:r>
      <w:r>
        <w:rPr>
          <w:rFonts w:ascii="Times New Roman" w:hAnsi="Times New Roman" w:cs="Times New Roman"/>
        </w:rPr>
        <w:t>Prevención y cribado de la ferropenia en lactantes [Internet]. [citado 15 de julio de 2023]. Disponible en: https://scielo.isciii.es/scielo.php?script=sci_arttext&amp;pid=S1139-76322012000100013</w:t>
      </w:r>
    </w:p>
    <w:p>
      <w:pPr>
        <w:pStyle w:val="28"/>
        <w:rPr>
          <w:rFonts w:ascii="Times New Roman" w:hAnsi="Times New Roman" w:cs="Times New Roman"/>
        </w:rPr>
      </w:pPr>
      <w:r>
        <w:rPr>
          <w:rFonts w:ascii="Times New Roman" w:hAnsi="Times New Roman" w:cs="Times New Roman"/>
          <w:lang w:val="en-US"/>
        </w:rPr>
        <w:t xml:space="preserve">34. </w:t>
      </w:r>
      <w:r>
        <w:rPr>
          <w:rFonts w:ascii="Times New Roman" w:hAnsi="Times New Roman" w:cs="Times New Roman"/>
          <w:lang w:val="en-US"/>
        </w:rPr>
        <w:tab/>
      </w:r>
      <w:r>
        <w:rPr>
          <w:rFonts w:ascii="Times New Roman" w:hAnsi="Times New Roman" w:cs="Times New Roman"/>
          <w:lang w:val="en-US"/>
        </w:rPr>
        <w:t xml:space="preserve">Iron deficiency in infants and children &lt;12 years: Treatment - UpToDate [Internet]. </w:t>
      </w:r>
      <w:r>
        <w:rPr>
          <w:rFonts w:ascii="Times New Roman" w:hAnsi="Times New Roman" w:cs="Times New Roman"/>
        </w:rPr>
        <w:t>[citado 28 de noviembre de 2022]. Disponible en: https://www.uptodate.com/contents/iron-deficiency-in-infants-and-children-less-than12-years-treatment?search=irondeficiency-in-infants-and-children-less-than12-years-treatment&amp;source=search_result&amp;selectedTitle=1~150&amp;usage_type=default&amp;display_rank=1</w:t>
      </w:r>
    </w:p>
    <w:p>
      <w:pPr>
        <w:pStyle w:val="28"/>
        <w:rPr>
          <w:rFonts w:ascii="Times New Roman" w:hAnsi="Times New Roman" w:cs="Times New Roman"/>
        </w:rPr>
      </w:pPr>
      <w:r>
        <w:rPr>
          <w:rFonts w:ascii="Times New Roman" w:hAnsi="Times New Roman" w:cs="Times New Roman"/>
        </w:rPr>
        <w:t xml:space="preserve">35. </w:t>
      </w:r>
      <w:r>
        <w:rPr>
          <w:rFonts w:ascii="Times New Roman" w:hAnsi="Times New Roman" w:cs="Times New Roman"/>
        </w:rPr>
        <w:tab/>
      </w:r>
      <w:r>
        <w:rPr>
          <w:rFonts w:ascii="Times New Roman" w:hAnsi="Times New Roman" w:cs="Times New Roman"/>
        </w:rPr>
        <w:t xml:space="preserve">García R. Suplementos en gestación: últimas recomendaciones. Nutr Hosp. 12 de julio de 2016;33. </w:t>
      </w:r>
    </w:p>
    <w:p>
      <w:pPr>
        <w:pStyle w:val="28"/>
        <w:rPr>
          <w:rFonts w:ascii="Times New Roman" w:hAnsi="Times New Roman" w:cs="Times New Roman"/>
        </w:rPr>
      </w:pPr>
      <w:r>
        <w:rPr>
          <w:rFonts w:ascii="Times New Roman" w:hAnsi="Times New Roman" w:cs="Times New Roman"/>
        </w:rPr>
        <w:t xml:space="preserve">36. </w:t>
      </w:r>
      <w:r>
        <w:rPr>
          <w:rFonts w:ascii="Times New Roman" w:hAnsi="Times New Roman" w:cs="Times New Roman"/>
        </w:rPr>
        <w:tab/>
      </w:r>
      <w:r>
        <w:rPr>
          <w:rFonts w:ascii="Times New Roman" w:hAnsi="Times New Roman" w:cs="Times New Roman"/>
        </w:rPr>
        <w:t xml:space="preserve">Gonzales GF, Olavegoya P, Cinthya Vásquez-Velásquez, Alarcón-Yaquetto DE. Anemia en niños menores de cinco años. ¿Estamos usando el criterio diagnóstico correcto? Rev Soc Peru Med Interna. 2018;31(3):92-103. </w:t>
      </w:r>
    </w:p>
    <w:p>
      <w:pPr>
        <w:pStyle w:val="28"/>
        <w:rPr>
          <w:rFonts w:ascii="Times New Roman" w:hAnsi="Times New Roman" w:cs="Times New Roman"/>
        </w:rPr>
      </w:pPr>
      <w:r>
        <w:rPr>
          <w:rFonts w:ascii="Times New Roman" w:hAnsi="Times New Roman" w:cs="Times New Roman"/>
        </w:rPr>
        <w:t xml:space="preserve">37. </w:t>
      </w:r>
      <w:r>
        <w:rPr>
          <w:rFonts w:ascii="Times New Roman" w:hAnsi="Times New Roman" w:cs="Times New Roman"/>
        </w:rPr>
        <w:tab/>
      </w:r>
      <w:r>
        <w:rPr>
          <w:rFonts w:ascii="Times New Roman" w:hAnsi="Times New Roman" w:cs="Times New Roman"/>
        </w:rPr>
        <w:t xml:space="preserve">Aparco JP, Bullón L, Cusirramos S. Impacto de micronutrientes en polvo sobre la anemia en niños de 10 a 35 meses de edad en Apurímac, Perú. Rev Peru Med Exp Salud Pública. 13 de mayo de 2019;36:17-25. </w:t>
      </w:r>
    </w:p>
    <w:p>
      <w:pPr>
        <w:pStyle w:val="28"/>
        <w:rPr>
          <w:rFonts w:ascii="Times New Roman" w:hAnsi="Times New Roman" w:cs="Times New Roman"/>
        </w:rPr>
      </w:pPr>
      <w:r>
        <w:rPr>
          <w:rFonts w:ascii="Times New Roman" w:hAnsi="Times New Roman" w:cs="Times New Roman"/>
        </w:rPr>
        <w:t xml:space="preserve">38. </w:t>
      </w:r>
      <w:r>
        <w:rPr>
          <w:rFonts w:ascii="Times New Roman" w:hAnsi="Times New Roman" w:cs="Times New Roman"/>
        </w:rPr>
        <w:tab/>
      </w:r>
      <w:r>
        <w:rPr>
          <w:rFonts w:ascii="Times New Roman" w:hAnsi="Times New Roman" w:cs="Times New Roman"/>
        </w:rPr>
        <w:t>MED-Montoya Fernández, Ligia .pdf [Internet]. [citado 6 de julio de 2023]. Disponible en: https://repositorio.urp.edu.pe/bitstream/handle/20.500.14138/5456/MED-Montoya%20Fern%c3%a1ndez%2c%20Ligia%20.pdf?sequence=1&amp;isAllowed=y</w:t>
      </w:r>
    </w:p>
    <w:p>
      <w:pPr>
        <w:pStyle w:val="28"/>
        <w:rPr>
          <w:rFonts w:ascii="Times New Roman" w:hAnsi="Times New Roman" w:cs="Times New Roman"/>
        </w:rPr>
      </w:pPr>
      <w:r>
        <w:rPr>
          <w:rFonts w:ascii="Times New Roman" w:hAnsi="Times New Roman" w:cs="Times New Roman"/>
        </w:rPr>
        <w:t xml:space="preserve">39. </w:t>
      </w:r>
      <w:r>
        <w:rPr>
          <w:rFonts w:ascii="Times New Roman" w:hAnsi="Times New Roman" w:cs="Times New Roman"/>
        </w:rPr>
        <w:tab/>
      </w:r>
      <w:r>
        <w:rPr>
          <w:rFonts w:ascii="Times New Roman" w:hAnsi="Times New Roman" w:cs="Times New Roman"/>
        </w:rPr>
        <w:t>Conco Valentin CG, Monrroy Mamani KY. Conocimientomaternoyadherenciaaltratamientocontrala anemiaenniñosdeHuanchac-Huaraz,2021. [Internet]. [Huaraz]: Univrsidad Cesar Vallejo; 2021. Disponible en: https://repositorio.ucv.edu.pe/bitstream/handle/20.500.12692/62156/Conco_VCG-Monrroy_MKY-SD.pdf?sequence=1&amp;isAllowed=y</w:t>
      </w:r>
    </w:p>
    <w:p>
      <w:pPr>
        <w:pStyle w:val="28"/>
        <w:rPr>
          <w:rFonts w:ascii="Times New Roman" w:hAnsi="Times New Roman" w:cs="Times New Roman"/>
        </w:rPr>
      </w:pPr>
      <w:r>
        <w:rPr>
          <w:rFonts w:ascii="Times New Roman" w:hAnsi="Times New Roman" w:cs="Times New Roman"/>
        </w:rPr>
        <w:t xml:space="preserve">40. </w:t>
      </w:r>
      <w:r>
        <w:rPr>
          <w:rFonts w:ascii="Times New Roman" w:hAnsi="Times New Roman" w:cs="Times New Roman"/>
        </w:rPr>
        <w:tab/>
      </w:r>
      <w:r>
        <w:rPr>
          <w:rFonts w:ascii="Times New Roman" w:hAnsi="Times New Roman" w:cs="Times New Roman"/>
        </w:rPr>
        <w:t xml:space="preserve">Garcia FM, Flores AP. Factores asociados en la adherencia al tratamiento de anemia ferropénica con hierro polimaltosado en niños menores de 2 años. Rev Muro Investig. 28 de diciembre de 2021;6(2):93-113. </w:t>
      </w:r>
    </w:p>
    <w:p>
      <w:pPr>
        <w:pStyle w:val="28"/>
        <w:rPr>
          <w:rFonts w:ascii="Times New Roman" w:hAnsi="Times New Roman" w:cs="Times New Roman"/>
        </w:rPr>
      </w:pPr>
      <w:r>
        <w:rPr>
          <w:rFonts w:ascii="Times New Roman" w:hAnsi="Times New Roman" w:cs="Times New Roman"/>
        </w:rPr>
        <w:t xml:space="preserve">41. </w:t>
      </w:r>
      <w:r>
        <w:rPr>
          <w:rFonts w:ascii="Times New Roman" w:hAnsi="Times New Roman" w:cs="Times New Roman"/>
        </w:rPr>
        <w:tab/>
      </w:r>
      <w:r>
        <w:rPr>
          <w:rFonts w:ascii="Times New Roman" w:hAnsi="Times New Roman" w:cs="Times New Roman"/>
        </w:rPr>
        <w:t>Jackelin MQM. Conocimiento y adherencia al tratamiento, de anemia ferropénica en madres con niños menores de 3 años, Marcará- 2022. Univ Nac Santiago Antúnez Mayolo [Internet]. 20 de abril de 2023 [citado 16 de septiembre de 2023]; Disponible en: https://renati.sunedu.gob.pe/handle/sunedu/3413194</w:t>
      </w:r>
    </w:p>
    <w:p>
      <w:pPr>
        <w:pStyle w:val="28"/>
        <w:rPr>
          <w:rFonts w:ascii="Times New Roman" w:hAnsi="Times New Roman" w:cs="Times New Roman"/>
          <w:lang w:val="en-US"/>
        </w:rPr>
      </w:pPr>
      <w:r>
        <w:rPr>
          <w:rFonts w:ascii="Times New Roman" w:hAnsi="Times New Roman" w:cs="Times New Roman"/>
        </w:rPr>
        <w:t xml:space="preserve">42. </w:t>
      </w:r>
      <w:r>
        <w:rPr>
          <w:rFonts w:ascii="Times New Roman" w:hAnsi="Times New Roman" w:cs="Times New Roman"/>
        </w:rPr>
        <w:tab/>
      </w:r>
      <w:r>
        <w:rPr>
          <w:rFonts w:ascii="Times New Roman" w:hAnsi="Times New Roman" w:cs="Times New Roman"/>
        </w:rPr>
        <w:t xml:space="preserve">Sunuwar DR, Sangroula RK, Shakya NS, Yadav R, Chaudhary NK, Pradhan PMS. </w:t>
      </w:r>
      <w:r>
        <w:rPr>
          <w:rFonts w:ascii="Times New Roman" w:hAnsi="Times New Roman" w:cs="Times New Roman"/>
          <w:lang w:val="en-US"/>
        </w:rPr>
        <w:t xml:space="preserve">Effect of nutrition education on hemoglobin level in pregnant women: A quasi-experimental study. PLoS ONE. 21 de marzo de 2019;14(3):e0213982. </w:t>
      </w:r>
    </w:p>
    <w:p>
      <w:pPr>
        <w:pStyle w:val="28"/>
        <w:rPr>
          <w:rFonts w:ascii="Times New Roman" w:hAnsi="Times New Roman" w:cs="Times New Roman"/>
        </w:rPr>
      </w:pPr>
      <w:r>
        <w:rPr>
          <w:rFonts w:ascii="Times New Roman" w:hAnsi="Times New Roman" w:cs="Times New Roman"/>
          <w:lang w:val="en-US"/>
        </w:rPr>
        <w:t xml:space="preserve">43. </w:t>
      </w:r>
      <w:r>
        <w:rPr>
          <w:rFonts w:ascii="Times New Roman" w:hAnsi="Times New Roman" w:cs="Times New Roman"/>
          <w:lang w:val="en-US"/>
        </w:rPr>
        <w:tab/>
      </w:r>
      <w:r>
        <w:rPr>
          <w:rFonts w:ascii="Times New Roman" w:hAnsi="Times New Roman" w:cs="Times New Roman"/>
          <w:lang w:val="en-US"/>
        </w:rPr>
        <w:t xml:space="preserve">Bilenko N, Yehiel M, Inbar Y, Gazala E. The association between anemia in infants, and maternal knowledge and adherence to iron supplementation in southern Israel. </w:t>
      </w:r>
      <w:r>
        <w:rPr>
          <w:rFonts w:ascii="Times New Roman" w:hAnsi="Times New Roman" w:cs="Times New Roman"/>
        </w:rPr>
        <w:t xml:space="preserve">Isr Med Assoc J IMAJ. julio de 2007;9(7):521-4. </w:t>
      </w:r>
    </w:p>
    <w:p>
      <w:pPr>
        <w:spacing w:line="360" w:lineRule="auto"/>
        <w:jc w:val="both"/>
        <w:rPr>
          <w:rFonts w:ascii="Times New Roman" w:hAnsi="Times New Roman" w:cs="Times New Roman"/>
          <w:b/>
          <w:bCs/>
        </w:rPr>
      </w:pPr>
      <w:r>
        <w:rPr>
          <w:rFonts w:ascii="Times New Roman" w:hAnsi="Times New Roman" w:cs="Times New Roman"/>
          <w:b/>
          <w:bCs/>
        </w:rPr>
        <w:fldChar w:fldCharType="end"/>
      </w:r>
    </w:p>
    <w:p>
      <w:pPr>
        <w:spacing w:line="360" w:lineRule="auto"/>
        <w:rPr>
          <w:rFonts w:ascii="Times New Roman" w:hAnsi="Times New Roman" w:cs="Times New Roman"/>
          <w:b/>
          <w:bCs/>
        </w:rPr>
      </w:pPr>
    </w:p>
    <w:p>
      <w:pPr>
        <w:spacing w:line="360" w:lineRule="auto"/>
        <w:rPr>
          <w:rFonts w:ascii="Times New Roman" w:hAnsi="Times New Roman" w:cs="Times New Roman"/>
          <w:b/>
          <w:bCs/>
        </w:rPr>
      </w:pPr>
    </w:p>
    <w:p>
      <w:pPr>
        <w:pStyle w:val="2"/>
        <w:rPr>
          <w:rFonts w:ascii="Times New Roman" w:hAnsi="Times New Roman" w:cs="Times New Roman"/>
          <w:b/>
          <w:bCs/>
          <w:color w:val="auto"/>
          <w:sz w:val="24"/>
          <w:szCs w:val="24"/>
        </w:rPr>
      </w:pPr>
      <w:bookmarkStart w:id="58" w:name="_GoBack"/>
      <w:bookmarkEnd w:id="58"/>
      <w:bookmarkStart w:id="45" w:name="_Toc145737818"/>
      <w:r>
        <w:rPr>
          <w:rFonts w:ascii="Times New Roman" w:hAnsi="Times New Roman" w:cs="Times New Roman"/>
          <w:b/>
          <w:bCs/>
          <w:color w:val="auto"/>
          <w:sz w:val="24"/>
          <w:szCs w:val="24"/>
        </w:rPr>
        <w:t>ANEXOS</w:t>
      </w:r>
      <w:bookmarkEnd w:id="45"/>
    </w:p>
    <w:p/>
    <w:p>
      <w:pPr>
        <w:pStyle w:val="3"/>
        <w:rPr>
          <w:rFonts w:ascii="Times New Roman" w:hAnsi="Times New Roman" w:cs="Times New Roman"/>
          <w:b/>
          <w:bCs/>
          <w:color w:val="auto"/>
          <w:sz w:val="24"/>
          <w:szCs w:val="24"/>
        </w:rPr>
      </w:pPr>
      <w:bookmarkStart w:id="46" w:name="_Toc145737819"/>
      <w:r>
        <w:rPr>
          <w:rFonts w:ascii="Times New Roman" w:hAnsi="Times New Roman" w:cs="Times New Roman"/>
          <w:b/>
          <w:bCs/>
          <w:color w:val="auto"/>
          <w:sz w:val="24"/>
          <w:szCs w:val="24"/>
        </w:rPr>
        <w:t>ANEXO 1: ACTA DE APROBACIÓN DEL PROYECTO DE TESIS</w:t>
      </w:r>
      <w:bookmarkEnd w:id="46"/>
    </w:p>
    <w:p/>
    <w:p/>
    <w:p/>
    <w:p>
      <w:r>
        <w:drawing>
          <wp:inline distT="0" distB="0" distL="0" distR="0">
            <wp:extent cx="5612130" cy="6925310"/>
            <wp:effectExtent l="0" t="0" r="7620" b="889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2130" cy="6925310"/>
                    </a:xfrm>
                    <a:prstGeom prst="rect">
                      <a:avLst/>
                    </a:prstGeom>
                  </pic:spPr>
                </pic:pic>
              </a:graphicData>
            </a:graphic>
          </wp:inline>
        </w:drawing>
      </w:r>
    </w:p>
    <w:p/>
    <w:p/>
    <w:p/>
    <w:p>
      <w:pPr>
        <w:pStyle w:val="3"/>
        <w:rPr>
          <w:rFonts w:ascii="Times New Roman" w:hAnsi="Times New Roman" w:cs="Times New Roman"/>
          <w:b/>
          <w:bCs/>
          <w:color w:val="auto"/>
          <w:sz w:val="24"/>
          <w:szCs w:val="24"/>
        </w:rPr>
      </w:pPr>
      <w:bookmarkStart w:id="47" w:name="_Toc145737820"/>
      <w:r>
        <w:rPr>
          <w:rFonts w:ascii="Times New Roman" w:hAnsi="Times New Roman" w:cs="Times New Roman"/>
          <w:b/>
          <w:bCs/>
          <w:color w:val="auto"/>
          <w:sz w:val="24"/>
          <w:szCs w:val="24"/>
        </w:rPr>
        <w:t>ANEXO 2: CARTA DE COMPROMISO DEL ASESOR DE TESIS</w:t>
      </w:r>
      <w:bookmarkEnd w:id="47"/>
    </w:p>
    <w:p/>
    <w:p>
      <w:r>
        <w:drawing>
          <wp:anchor distT="0" distB="0" distL="114300" distR="114300" simplePos="0" relativeHeight="251664384" behindDoc="1" locked="0" layoutInCell="1" allowOverlap="1">
            <wp:simplePos x="0" y="0"/>
            <wp:positionH relativeFrom="margin">
              <wp:posOffset>-635</wp:posOffset>
            </wp:positionH>
            <wp:positionV relativeFrom="paragraph">
              <wp:posOffset>180975</wp:posOffset>
            </wp:positionV>
            <wp:extent cx="5946140" cy="7518400"/>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20">
                      <a:extLst>
                        <a:ext uri="{28A0092B-C50C-407E-A947-70E740481C1C}">
                          <a14:useLocalDpi xmlns:a14="http://schemas.microsoft.com/office/drawing/2010/main" val="0"/>
                        </a:ext>
                      </a:extLst>
                    </a:blip>
                    <a:srcRect l="32398" t="19119" r="34236" b="5871"/>
                    <a:stretch>
                      <a:fillRect/>
                    </a:stretch>
                  </pic:blipFill>
                  <pic:spPr>
                    <a:xfrm>
                      <a:off x="0" y="0"/>
                      <a:ext cx="5947237" cy="7520174"/>
                    </a:xfrm>
                    <a:prstGeom prst="rect">
                      <a:avLst/>
                    </a:prstGeom>
                    <a:ln>
                      <a:noFill/>
                    </a:ln>
                  </pic:spPr>
                </pic:pic>
              </a:graphicData>
            </a:graphic>
          </wp:anchor>
        </w:drawing>
      </w:r>
    </w:p>
    <w:p/>
    <w:p/>
    <w:p/>
    <w:p/>
    <w:p/>
    <w:p/>
    <w:p/>
    <w:p/>
    <w:p/>
    <w:p/>
    <w:p/>
    <w:p/>
    <w:p/>
    <w:p/>
    <w:p/>
    <w:p/>
    <w:p/>
    <w:p/>
    <w:p/>
    <w:p/>
    <w:p/>
    <w:p/>
    <w:p/>
    <w:p/>
    <w:p/>
    <w:p/>
    <w:p/>
    <w:p/>
    <w:p/>
    <w:p/>
    <w:p/>
    <w:p/>
    <w:p/>
    <w:p/>
    <w:p/>
    <w:p/>
    <w:p/>
    <w:p/>
    <w:p/>
    <w:p>
      <w:pPr>
        <w:pStyle w:val="3"/>
        <w:rPr>
          <w:rFonts w:ascii="Times New Roman" w:hAnsi="Times New Roman" w:cs="Times New Roman"/>
          <w:b/>
          <w:bCs/>
          <w:color w:val="auto"/>
          <w:sz w:val="24"/>
          <w:szCs w:val="24"/>
        </w:rPr>
      </w:pPr>
      <w:bookmarkStart w:id="48" w:name="_Toc145737821"/>
      <w:r>
        <w:rPr>
          <w:rFonts w:ascii="Times New Roman" w:hAnsi="Times New Roman" w:cs="Times New Roman"/>
          <w:b/>
          <w:bCs/>
          <w:color w:val="auto"/>
          <w:sz w:val="24"/>
          <w:szCs w:val="24"/>
        </w:rPr>
        <w:t>ANEXO 3: CARTA DE APROBACIÓN DEL PROYECTO DE TESIS, FIRMADO POR LA SECRETARÍA ACADÉMICA</w:t>
      </w:r>
      <w:bookmarkEnd w:id="48"/>
      <w:r>
        <w:rPr>
          <w:rFonts w:ascii="Times New Roman" w:hAnsi="Times New Roman" w:cs="Times New Roman"/>
          <w:b/>
          <w:bCs/>
          <w:color w:val="auto"/>
          <w:sz w:val="24"/>
          <w:szCs w:val="24"/>
        </w:rPr>
        <w:t>.</w:t>
      </w:r>
    </w:p>
    <w:p>
      <w:r>
        <w:drawing>
          <wp:anchor distT="0" distB="0" distL="114300" distR="114300" simplePos="0" relativeHeight="251663360" behindDoc="1" locked="0" layoutInCell="1" allowOverlap="1">
            <wp:simplePos x="0" y="0"/>
            <wp:positionH relativeFrom="margin">
              <wp:posOffset>-635</wp:posOffset>
            </wp:positionH>
            <wp:positionV relativeFrom="paragraph">
              <wp:posOffset>161925</wp:posOffset>
            </wp:positionV>
            <wp:extent cx="5326380" cy="7861300"/>
            <wp:effectExtent l="0" t="0" r="762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1">
                      <a:extLst>
                        <a:ext uri="{28A0092B-C50C-407E-A947-70E740481C1C}">
                          <a14:useLocalDpi xmlns:a14="http://schemas.microsoft.com/office/drawing/2010/main" val="0"/>
                        </a:ext>
                      </a:extLst>
                    </a:blip>
                    <a:srcRect l="37408" t="20291" r="38877" b="17478"/>
                    <a:stretch>
                      <a:fillRect/>
                    </a:stretch>
                  </pic:blipFill>
                  <pic:spPr>
                    <a:xfrm>
                      <a:off x="0" y="0"/>
                      <a:ext cx="5326380" cy="7861300"/>
                    </a:xfrm>
                    <a:prstGeom prst="rect">
                      <a:avLst/>
                    </a:prstGeom>
                    <a:ln>
                      <a:noFill/>
                    </a:ln>
                  </pic:spPr>
                </pic:pic>
              </a:graphicData>
            </a:graphic>
          </wp:anchor>
        </w:drawing>
      </w:r>
    </w:p>
    <w:p/>
    <w:p/>
    <w:p/>
    <w:p/>
    <w:p/>
    <w:p/>
    <w:p/>
    <w:p/>
    <w:p/>
    <w:p/>
    <w:p/>
    <w:p/>
    <w:p/>
    <w:p/>
    <w:p/>
    <w:p/>
    <w:p/>
    <w:p/>
    <w:p/>
    <w:p/>
    <w:p/>
    <w:p/>
    <w:p/>
    <w:p/>
    <w:p/>
    <w:p/>
    <w:p/>
    <w:p/>
    <w:p/>
    <w:p/>
    <w:p/>
    <w:p/>
    <w:p/>
    <w:p/>
    <w:p/>
    <w:p/>
    <w:p/>
    <w:p/>
    <w:p/>
    <w:p>
      <w:pPr>
        <w:pStyle w:val="3"/>
        <w:rPr>
          <w:rFonts w:ascii="Times New Roman" w:hAnsi="Times New Roman" w:cs="Times New Roman"/>
          <w:b/>
          <w:bCs/>
          <w:color w:val="auto"/>
          <w:sz w:val="24"/>
          <w:szCs w:val="24"/>
        </w:rPr>
      </w:pPr>
      <w:bookmarkStart w:id="49" w:name="_Toc145737822"/>
      <w:r>
        <w:rPr>
          <w:rFonts w:ascii="Times New Roman" w:hAnsi="Times New Roman" w:cs="Times New Roman"/>
          <w:b/>
          <w:bCs/>
          <w:color w:val="auto"/>
          <w:sz w:val="24"/>
          <w:szCs w:val="24"/>
        </w:rPr>
        <w:t>ANEXO 4: CARTA DE ACEPTACIÓN DE EJECUCIÓN DE LA TESIS POR LA SEDE HOSPITALARIA CON APROBACION POR EL COMITÉ DE ETICA EN INVESTIGACIÓN</w:t>
      </w:r>
      <w:bookmarkEnd w:id="49"/>
    </w:p>
    <w:p/>
    <w:p/>
    <w:p>
      <w:r>
        <w:drawing>
          <wp:anchor distT="0" distB="0" distL="114300" distR="114300" simplePos="0" relativeHeight="251665408" behindDoc="1" locked="0" layoutInCell="1" allowOverlap="1">
            <wp:simplePos x="0" y="0"/>
            <wp:positionH relativeFrom="margin">
              <wp:posOffset>102870</wp:posOffset>
            </wp:positionH>
            <wp:positionV relativeFrom="paragraph">
              <wp:posOffset>109855</wp:posOffset>
            </wp:positionV>
            <wp:extent cx="5547360" cy="7607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22">
                      <a:extLst>
                        <a:ext uri="{28A0092B-C50C-407E-A947-70E740481C1C}">
                          <a14:useLocalDpi xmlns:a14="http://schemas.microsoft.com/office/drawing/2010/main" val="0"/>
                        </a:ext>
                      </a:extLst>
                    </a:blip>
                    <a:srcRect l="37097" t="19597" r="37118" b="17539"/>
                    <a:stretch>
                      <a:fillRect/>
                    </a:stretch>
                  </pic:blipFill>
                  <pic:spPr>
                    <a:xfrm>
                      <a:off x="0" y="0"/>
                      <a:ext cx="5547362" cy="7607300"/>
                    </a:xfrm>
                    <a:prstGeom prst="rect">
                      <a:avLst/>
                    </a:prstGeom>
                    <a:ln>
                      <a:noFill/>
                    </a:ln>
                  </pic:spPr>
                </pic:pic>
              </a:graphicData>
            </a:graphic>
          </wp:anchor>
        </w:drawing>
      </w:r>
    </w:p>
    <w:p/>
    <w:p/>
    <w:p/>
    <w:p/>
    <w:p/>
    <w:p/>
    <w:p/>
    <w:p/>
    <w:p>
      <w:pPr>
        <w:tabs>
          <w:tab w:val="left" w:pos="5400"/>
          <w:tab w:val="right" w:pos="8838"/>
        </w:tabs>
      </w:pPr>
      <w:r>
        <w:tab/>
      </w:r>
      <w:r>
        <w:tab/>
      </w:r>
    </w:p>
    <w:p/>
    <w:p/>
    <w:p/>
    <w:p/>
    <w:p/>
    <w:p/>
    <w:p/>
    <w:p/>
    <w:p/>
    <w:p/>
    <w:p/>
    <w:p/>
    <w:p/>
    <w:p/>
    <w:p/>
    <w:p/>
    <w:p/>
    <w:p/>
    <w:p/>
    <w:p/>
    <w:p/>
    <w:p/>
    <w:p/>
    <w:p/>
    <w:p/>
    <w:p/>
    <w:p/>
    <w:p/>
    <w:p/>
    <w:p>
      <w:pPr>
        <w:pStyle w:val="3"/>
        <w:rPr>
          <w:rFonts w:ascii="Times New Roman" w:hAnsi="Times New Roman" w:cs="Times New Roman"/>
          <w:b/>
          <w:bCs/>
          <w:color w:val="auto"/>
          <w:sz w:val="24"/>
          <w:szCs w:val="24"/>
        </w:rPr>
      </w:pPr>
      <w:bookmarkStart w:id="50" w:name="_Toc145737823"/>
      <w:r>
        <w:rPr>
          <w:rFonts w:ascii="Times New Roman" w:hAnsi="Times New Roman" w:cs="Times New Roman"/>
          <w:b/>
          <w:bCs/>
          <w:color w:val="auto"/>
          <w:sz w:val="24"/>
          <w:szCs w:val="24"/>
        </w:rPr>
        <w:t>ANEXO 5: ACTA DE APROBACIÓN DEL BORRADOR DE TESIS</w:t>
      </w:r>
      <w:bookmarkEnd w:id="50"/>
    </w:p>
    <w:p/>
    <w:p/>
    <w:p>
      <w:pPr>
        <w:rPr>
          <w:rFonts w:ascii="Times New Roman" w:hAnsi="Times New Roman" w:cs="Times New Roman"/>
          <w:b/>
          <w:bCs/>
        </w:rPr>
      </w:pPr>
      <w:r>
        <w:drawing>
          <wp:inline distT="0" distB="0" distL="0" distR="0">
            <wp:extent cx="5612130" cy="7729855"/>
            <wp:effectExtent l="0" t="0" r="7620" b="4445"/>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7729855"/>
                    </a:xfrm>
                    <a:prstGeom prst="rect">
                      <a:avLst/>
                    </a:prstGeom>
                  </pic:spPr>
                </pic:pic>
              </a:graphicData>
            </a:graphic>
          </wp:inline>
        </w:drawing>
      </w:r>
      <w:bookmarkStart w:id="51" w:name="_Toc145737824"/>
    </w:p>
    <w:bookmarkEnd w:id="51"/>
    <w:p/>
    <w:p/>
    <w:p>
      <w:pPr>
        <w:pStyle w:val="3"/>
        <w:rPr>
          <w:rFonts w:ascii="Times New Roman" w:hAnsi="Times New Roman" w:cs="Times New Roman"/>
          <w:b/>
          <w:bCs/>
          <w:color w:val="auto"/>
          <w:sz w:val="24"/>
          <w:szCs w:val="24"/>
        </w:rPr>
      </w:pPr>
      <w:bookmarkStart w:id="52" w:name="_Toc145737825"/>
      <w:r>
        <w:rPr>
          <w:rFonts w:ascii="Times New Roman" w:hAnsi="Times New Roman" w:cs="Times New Roman"/>
          <w:b/>
          <w:bCs/>
          <w:color w:val="auto"/>
          <w:sz w:val="24"/>
          <w:szCs w:val="24"/>
        </w:rPr>
        <w:t>ANEXO 6: CERTIFICADO DE ASISTENCIA AL CURSO TALLER</w:t>
      </w:r>
      <w:bookmarkEnd w:id="52"/>
    </w:p>
    <w:p/>
    <w:p/>
    <w:p/>
    <w:p/>
    <w:p/>
    <w:p/>
    <w:p>
      <w:r>
        <w:drawing>
          <wp:inline distT="0" distB="0" distL="0" distR="0">
            <wp:extent cx="5759450" cy="574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24"/>
                    <a:srcRect l="29574" t="17166" r="29396" b="10133"/>
                    <a:stretch>
                      <a:fillRect/>
                    </a:stretch>
                  </pic:blipFill>
                  <pic:spPr>
                    <a:xfrm>
                      <a:off x="0" y="0"/>
                      <a:ext cx="5777190" cy="5757553"/>
                    </a:xfrm>
                    <a:prstGeom prst="rect">
                      <a:avLst/>
                    </a:prstGeom>
                    <a:ln>
                      <a:noFill/>
                    </a:ln>
                  </pic:spPr>
                </pic:pic>
              </a:graphicData>
            </a:graphic>
          </wp:inline>
        </w:drawing>
      </w:r>
    </w:p>
    <w:p/>
    <w:p/>
    <w:p/>
    <w:p/>
    <w:p/>
    <w:p/>
    <w:p>
      <w:pPr>
        <w:pStyle w:val="3"/>
        <w:rPr>
          <w:rFonts w:ascii="Times New Roman" w:hAnsi="Times New Roman" w:cs="Times New Roman"/>
          <w:b/>
          <w:bCs/>
          <w:color w:val="auto"/>
          <w:sz w:val="24"/>
          <w:szCs w:val="24"/>
        </w:rPr>
        <w:sectPr>
          <w:headerReference r:id="rId6" w:type="first"/>
          <w:footerReference r:id="rId8" w:type="first"/>
          <w:headerReference r:id="rId5" w:type="default"/>
          <w:footerReference r:id="rId7" w:type="default"/>
          <w:pgSz w:w="12240" w:h="15840"/>
          <w:pgMar w:top="993" w:right="1701" w:bottom="1417" w:left="1701" w:header="708" w:footer="708" w:gutter="0"/>
          <w:pgNumType w:start="1"/>
          <w:cols w:space="708" w:num="1"/>
          <w:titlePg/>
          <w:docGrid w:linePitch="360" w:charSpace="0"/>
        </w:sectPr>
      </w:pPr>
    </w:p>
    <w:p>
      <w:pPr>
        <w:pStyle w:val="3"/>
        <w:rPr>
          <w:rFonts w:ascii="Times New Roman" w:hAnsi="Times New Roman" w:cs="Times New Roman"/>
          <w:b/>
          <w:bCs/>
          <w:color w:val="auto"/>
          <w:sz w:val="24"/>
          <w:szCs w:val="24"/>
        </w:rPr>
      </w:pPr>
      <w:bookmarkStart w:id="53" w:name="_Toc145737826"/>
      <w:r>
        <w:rPr>
          <w:rFonts w:ascii="Times New Roman" w:hAnsi="Times New Roman" w:cs="Times New Roman"/>
          <w:b/>
          <w:bCs/>
          <w:color w:val="auto"/>
          <w:sz w:val="24"/>
          <w:szCs w:val="24"/>
        </w:rPr>
        <w:t>ANEXO 7: MATRIZ DE CONSISTENCIA</w:t>
      </w:r>
      <w:bookmarkEnd w:id="53"/>
    </w:p>
    <w:p>
      <w:pPr>
        <w:rPr>
          <w:b/>
          <w:bCs/>
        </w:rPr>
      </w:pPr>
    </w:p>
    <w:p>
      <w:pPr>
        <w:rPr>
          <w:b/>
          <w:bCs/>
        </w:rPr>
      </w:pPr>
    </w:p>
    <w:tbl>
      <w:tblPr>
        <w:tblStyle w:val="11"/>
        <w:tblpPr w:leftFromText="141" w:rightFromText="141" w:vertAnchor="text" w:horzAnchor="margin" w:tblpXSpec="center" w:tblpY="54"/>
        <w:tblW w:w="14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3261"/>
        <w:gridCol w:w="3373"/>
        <w:gridCol w:w="1885"/>
        <w:gridCol w:w="2112"/>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68" w:type="dxa"/>
            <w:vAlign w:val="center"/>
          </w:tcPr>
          <w:p>
            <w:pPr>
              <w:jc w:val="center"/>
              <w:rPr>
                <w:rFonts w:ascii="Times New Roman" w:hAnsi="Times New Roman" w:cs="Times New Roman"/>
                <w:b/>
                <w:bCs/>
                <w:sz w:val="20"/>
                <w:szCs w:val="20"/>
              </w:rPr>
            </w:pPr>
            <w:bookmarkStart w:id="54" w:name="_Hlk143596924"/>
            <w:r>
              <w:rPr>
                <w:rFonts w:ascii="Times New Roman" w:hAnsi="Times New Roman" w:cs="Times New Roman"/>
                <w:b/>
                <w:bCs/>
                <w:sz w:val="20"/>
                <w:szCs w:val="20"/>
              </w:rPr>
              <w:t>PROBLEMA</w:t>
            </w:r>
          </w:p>
        </w:tc>
        <w:tc>
          <w:tcPr>
            <w:tcW w:w="3261" w:type="dxa"/>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OBJETIVOS</w:t>
            </w:r>
          </w:p>
        </w:tc>
        <w:tc>
          <w:tcPr>
            <w:tcW w:w="3373" w:type="dxa"/>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HIPOTESIS</w:t>
            </w:r>
          </w:p>
        </w:tc>
        <w:tc>
          <w:tcPr>
            <w:tcW w:w="1885" w:type="dxa"/>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VARIABLES</w:t>
            </w:r>
          </w:p>
        </w:tc>
        <w:tc>
          <w:tcPr>
            <w:tcW w:w="2112" w:type="dxa"/>
            <w:vAlign w:val="center"/>
          </w:tcPr>
          <w:p>
            <w:pPr>
              <w:jc w:val="center"/>
              <w:rPr>
                <w:rFonts w:ascii="Times New Roman" w:hAnsi="Times New Roman" w:cs="Times New Roman"/>
                <w:b/>
                <w:bCs/>
                <w:sz w:val="20"/>
                <w:szCs w:val="20"/>
              </w:rPr>
            </w:pPr>
            <w:r>
              <w:rPr>
                <w:rFonts w:ascii="Times New Roman" w:hAnsi="Times New Roman" w:cs="Times New Roman"/>
                <w:b/>
                <w:bCs/>
                <w:sz w:val="20"/>
                <w:szCs w:val="20"/>
              </w:rPr>
              <w:t>METODOLOGÍA</w:t>
            </w:r>
          </w:p>
        </w:tc>
        <w:tc>
          <w:tcPr>
            <w:tcW w:w="2174" w:type="dxa"/>
            <w:vAlign w:val="center"/>
          </w:tcPr>
          <w:p>
            <w:pPr>
              <w:jc w:val="center"/>
              <w:rPr>
                <w:rFonts w:ascii="Times New Roman" w:hAnsi="Times New Roman" w:cs="Times New Roman"/>
                <w:b/>
                <w:bCs/>
                <w:sz w:val="22"/>
                <w:szCs w:val="22"/>
              </w:rPr>
            </w:pPr>
            <w:r>
              <w:rPr>
                <w:rFonts w:ascii="Times New Roman" w:hAnsi="Times New Roman" w:cs="Times New Roman"/>
                <w:b/>
                <w:bCs/>
                <w:sz w:val="20"/>
                <w:szCs w:val="20"/>
              </w:rPr>
              <w:t>TÉCNICAS Y PROCESAMIENTO DE INFORMACIÓN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68" w:type="dxa"/>
          </w:tcPr>
          <w:p>
            <w:pPr>
              <w:jc w:val="both"/>
              <w:rPr>
                <w:rFonts w:ascii="Times New Roman" w:hAnsi="Times New Roman" w:cs="Times New Roman"/>
                <w:sz w:val="20"/>
                <w:szCs w:val="20"/>
              </w:rPr>
            </w:pPr>
            <w:r>
              <w:rPr>
                <w:rFonts w:ascii="Times New Roman" w:hAnsi="Times New Roman" w:cs="Times New Roman"/>
                <w:sz w:val="20"/>
                <w:szCs w:val="20"/>
              </w:rPr>
              <w:t>¿Cuál es la asociación entre el nivel de conocimiento de Anemia Ferropénica y la respuesta al tratamiento de pacientes evaluados en el Centro Materno Infantil Villa María del Triunfo entre Mayo y Noviembre del 2021?</w:t>
            </w:r>
          </w:p>
        </w:tc>
        <w:tc>
          <w:tcPr>
            <w:tcW w:w="3261" w:type="dxa"/>
          </w:tcPr>
          <w:p>
            <w:pPr>
              <w:jc w:val="both"/>
              <w:rPr>
                <w:rFonts w:ascii="Times New Roman" w:hAnsi="Times New Roman" w:cs="Times New Roman"/>
                <w:sz w:val="20"/>
                <w:szCs w:val="20"/>
              </w:rPr>
            </w:pPr>
            <w:r>
              <w:rPr>
                <w:rFonts w:ascii="Times New Roman" w:hAnsi="Times New Roman" w:cs="Times New Roman"/>
                <w:sz w:val="20"/>
                <w:szCs w:val="20"/>
              </w:rPr>
              <w:t>OBJETIVO GENERAL</w:t>
            </w:r>
          </w:p>
          <w:p>
            <w:pPr>
              <w:jc w:val="both"/>
              <w:rPr>
                <w:rFonts w:ascii="Times New Roman" w:hAnsi="Times New Roman" w:cs="Times New Roman"/>
                <w:sz w:val="20"/>
                <w:szCs w:val="20"/>
              </w:rPr>
            </w:pPr>
            <w:r>
              <w:rPr>
                <w:rFonts w:ascii="Times New Roman" w:hAnsi="Times New Roman" w:cs="Times New Roman"/>
                <w:sz w:val="20"/>
                <w:szCs w:val="20"/>
              </w:rPr>
              <w:t>Determinar la asociación entre el nivel de conocimiento de Anemia Ferropénica y la respuesta al tratamiento de pacientes evaluados en el Centro Materno Infantil Villa María del Triunfo entre Mayo y Noviembre del 2021.</w:t>
            </w:r>
          </w:p>
          <w:p>
            <w:pPr>
              <w:jc w:val="both"/>
              <w:rPr>
                <w:rFonts w:ascii="Times New Roman" w:hAnsi="Times New Roman" w:cs="Times New Roman"/>
                <w:sz w:val="20"/>
                <w:szCs w:val="20"/>
              </w:rPr>
            </w:pPr>
            <w:r>
              <w:rPr>
                <w:rFonts w:ascii="Times New Roman" w:hAnsi="Times New Roman" w:cs="Times New Roman"/>
                <w:sz w:val="20"/>
                <w:szCs w:val="20"/>
              </w:rPr>
              <w:t>OBJETIVOS ESPECÍFICOS</w:t>
            </w:r>
          </w:p>
          <w:p>
            <w:pPr>
              <w:pStyle w:val="27"/>
              <w:numPr>
                <w:ilvl w:val="0"/>
                <w:numId w:val="8"/>
              </w:numPr>
              <w:ind w:left="154" w:hanging="282"/>
              <w:jc w:val="both"/>
              <w:rPr>
                <w:rFonts w:ascii="Times New Roman" w:hAnsi="Times New Roman" w:cs="Times New Roman"/>
                <w:sz w:val="20"/>
                <w:szCs w:val="20"/>
              </w:rPr>
            </w:pPr>
            <w:r>
              <w:rPr>
                <w:rFonts w:ascii="Times New Roman" w:hAnsi="Times New Roman" w:cs="Times New Roman"/>
                <w:sz w:val="20"/>
                <w:szCs w:val="20"/>
              </w:rPr>
              <w:t>Determinar el nivel de conocimiento de Anemia Ferropénica de las madres de los pacientes evaluados en el Centro Materno Infantil Villa María del Triunfo entre Mayo y Noviembre del 2021</w:t>
            </w:r>
          </w:p>
          <w:p>
            <w:pPr>
              <w:pStyle w:val="27"/>
              <w:numPr>
                <w:ilvl w:val="0"/>
                <w:numId w:val="8"/>
              </w:numPr>
              <w:ind w:left="154" w:hanging="282"/>
              <w:jc w:val="both"/>
              <w:rPr>
                <w:rFonts w:ascii="Times New Roman" w:hAnsi="Times New Roman" w:cs="Times New Roman"/>
                <w:sz w:val="20"/>
                <w:szCs w:val="20"/>
              </w:rPr>
            </w:pPr>
            <w:r>
              <w:rPr>
                <w:rFonts w:ascii="Times New Roman" w:hAnsi="Times New Roman" w:cs="Times New Roman"/>
                <w:sz w:val="20"/>
                <w:szCs w:val="20"/>
              </w:rPr>
              <w:t>Determinar la respuesta al tratamiento de pacientes evaluados con anemia ferropénica en el Centro Materno Infantil Villa María del Triunfo entre Mayo y Noviembre del 2021</w:t>
            </w:r>
          </w:p>
          <w:p>
            <w:pPr>
              <w:jc w:val="both"/>
              <w:rPr>
                <w:rFonts w:ascii="Times New Roman" w:hAnsi="Times New Roman" w:cs="Times New Roman"/>
                <w:sz w:val="20"/>
                <w:szCs w:val="20"/>
              </w:rPr>
            </w:pPr>
          </w:p>
          <w:p>
            <w:pPr>
              <w:pStyle w:val="27"/>
              <w:ind w:left="270"/>
              <w:jc w:val="both"/>
              <w:rPr>
                <w:sz w:val="20"/>
                <w:szCs w:val="20"/>
              </w:rPr>
            </w:pPr>
          </w:p>
          <w:p>
            <w:pPr>
              <w:pStyle w:val="27"/>
              <w:ind w:left="270"/>
              <w:jc w:val="both"/>
              <w:rPr>
                <w:sz w:val="20"/>
                <w:szCs w:val="20"/>
              </w:rPr>
            </w:pPr>
          </w:p>
          <w:p>
            <w:pPr>
              <w:pStyle w:val="27"/>
              <w:ind w:left="270"/>
              <w:jc w:val="both"/>
              <w:rPr>
                <w:sz w:val="20"/>
                <w:szCs w:val="20"/>
              </w:rPr>
            </w:pPr>
          </w:p>
        </w:tc>
        <w:tc>
          <w:tcPr>
            <w:tcW w:w="3373" w:type="dxa"/>
          </w:tcPr>
          <w:p>
            <w:pPr>
              <w:rPr>
                <w:rFonts w:ascii="Times New Roman" w:hAnsi="Times New Roman" w:cs="Times New Roman"/>
                <w:sz w:val="20"/>
                <w:szCs w:val="20"/>
                <w:lang w:val="es-MX"/>
              </w:rPr>
            </w:pPr>
            <w:r>
              <w:rPr>
                <w:rFonts w:ascii="Times New Roman" w:hAnsi="Times New Roman" w:cs="Times New Roman"/>
                <w:sz w:val="20"/>
                <w:szCs w:val="20"/>
                <w:lang w:val="es-MX"/>
              </w:rPr>
              <w:t>Hipótesis general:</w:t>
            </w:r>
          </w:p>
          <w:p>
            <w:pPr>
              <w:rPr>
                <w:rFonts w:ascii="Times New Roman" w:hAnsi="Times New Roman" w:cs="Times New Roman"/>
                <w:sz w:val="20"/>
                <w:szCs w:val="20"/>
                <w:lang w:val="es-MX"/>
              </w:rPr>
            </w:pPr>
            <w:r>
              <w:rPr>
                <w:rFonts w:ascii="Times New Roman" w:hAnsi="Times New Roman" w:cs="Times New Roman"/>
                <w:sz w:val="20"/>
                <w:szCs w:val="20"/>
                <w:lang w:val="es-MX"/>
              </w:rPr>
              <w:t>El nivel de conocimiento de Anemia Ferropénica de las madres se asocia a la respuesta al tratamiento de pacientes anémicos evaluados en el Centro Materno Infantil Villa María del Triunfo entre Mayo y Noviembre del 2021</w:t>
            </w:r>
          </w:p>
          <w:p>
            <w:pPr>
              <w:rPr>
                <w:rFonts w:ascii="Times New Roman" w:hAnsi="Times New Roman" w:cs="Times New Roman"/>
                <w:sz w:val="20"/>
                <w:szCs w:val="20"/>
                <w:lang w:val="es-MX"/>
              </w:rPr>
            </w:pPr>
            <w:r>
              <w:rPr>
                <w:rFonts w:ascii="Times New Roman" w:hAnsi="Times New Roman" w:cs="Times New Roman"/>
                <w:sz w:val="20"/>
                <w:szCs w:val="20"/>
                <w:lang w:val="es-MX"/>
              </w:rPr>
              <w:t>Hipótesis específicas:</w:t>
            </w:r>
          </w:p>
          <w:p>
            <w:pPr>
              <w:pStyle w:val="27"/>
              <w:numPr>
                <w:ilvl w:val="0"/>
                <w:numId w:val="9"/>
              </w:numPr>
              <w:ind w:left="300" w:hanging="278"/>
              <w:rPr>
                <w:rFonts w:ascii="Times New Roman" w:hAnsi="Times New Roman" w:cs="Times New Roman"/>
                <w:sz w:val="20"/>
                <w:szCs w:val="20"/>
                <w:lang w:val="es-MX"/>
              </w:rPr>
            </w:pPr>
            <w:r>
              <w:rPr>
                <w:rFonts w:ascii="Times New Roman" w:hAnsi="Times New Roman" w:cs="Times New Roman"/>
                <w:sz w:val="20"/>
                <w:szCs w:val="20"/>
                <w:lang w:val="es-MX"/>
              </w:rPr>
              <w:t>El nivel de conocimiento alto está asociado a la respuesta al tratamiento de pacientes evaluados con anemia ferropénica en el Centro Materno Infantil Villa María del Triunfo entre Mayo y Noviembre del 2021</w:t>
            </w:r>
          </w:p>
          <w:p>
            <w:pPr>
              <w:pStyle w:val="27"/>
              <w:numPr>
                <w:ilvl w:val="0"/>
                <w:numId w:val="9"/>
              </w:numPr>
              <w:ind w:left="300" w:hanging="278"/>
              <w:rPr>
                <w:rFonts w:ascii="Times New Roman" w:hAnsi="Times New Roman" w:cs="Times New Roman"/>
                <w:sz w:val="20"/>
                <w:szCs w:val="20"/>
                <w:lang w:val="es-MX"/>
              </w:rPr>
            </w:pPr>
            <w:r>
              <w:rPr>
                <w:rFonts w:ascii="Times New Roman" w:hAnsi="Times New Roman" w:cs="Times New Roman"/>
                <w:sz w:val="20"/>
                <w:szCs w:val="20"/>
                <w:lang w:val="es-MX"/>
              </w:rPr>
              <w:t>El nivel de conocimiento medio s está asociado a la respuesta al tratamiento de pacientes evaluados con anemia ferropénica en el Centro Materno Infantil Villa María del Triunfo entre Mayo y Noviembre del 2021</w:t>
            </w:r>
          </w:p>
          <w:p>
            <w:pPr>
              <w:pStyle w:val="27"/>
              <w:numPr>
                <w:ilvl w:val="0"/>
                <w:numId w:val="9"/>
              </w:numPr>
              <w:ind w:left="300" w:hanging="278"/>
              <w:rPr>
                <w:rFonts w:ascii="Times New Roman" w:hAnsi="Times New Roman" w:cs="Times New Roman"/>
                <w:sz w:val="20"/>
                <w:szCs w:val="20"/>
                <w:lang w:val="es-MX"/>
              </w:rPr>
            </w:pPr>
            <w:r>
              <w:rPr>
                <w:rFonts w:ascii="Times New Roman" w:hAnsi="Times New Roman" w:cs="Times New Roman"/>
                <w:sz w:val="20"/>
                <w:szCs w:val="20"/>
                <w:lang w:val="es-MX"/>
              </w:rPr>
              <w:t>El nivel de conocimiento bajo está asociado a la respuesta al tratamiento de pacientes evaluados con anemia ferropénica en el Centro Materno Infantil Villa María del Triunfo entre Mayo y Noviembre del 2021</w:t>
            </w:r>
          </w:p>
        </w:tc>
        <w:tc>
          <w:tcPr>
            <w:tcW w:w="1885" w:type="dxa"/>
          </w:tcPr>
          <w:p>
            <w:pPr>
              <w:jc w:val="both"/>
              <w:rPr>
                <w:rFonts w:ascii="Times New Roman" w:hAnsi="Times New Roman" w:cs="Times New Roman"/>
                <w:sz w:val="20"/>
                <w:szCs w:val="20"/>
              </w:rPr>
            </w:pPr>
            <w:r>
              <w:rPr>
                <w:rFonts w:ascii="Times New Roman" w:hAnsi="Times New Roman" w:cs="Times New Roman"/>
                <w:sz w:val="20"/>
                <w:szCs w:val="20"/>
              </w:rPr>
              <w:t xml:space="preserve">Variable dependiente: Respuesta al tratamiento  </w:t>
            </w:r>
          </w:p>
          <w:p>
            <w:pPr>
              <w:jc w:val="both"/>
              <w:rPr>
                <w:rFonts w:ascii="Times New Roman" w:hAnsi="Times New Roman" w:cs="Times New Roman"/>
                <w:sz w:val="20"/>
                <w:szCs w:val="20"/>
              </w:rPr>
            </w:pPr>
            <w:r>
              <w:rPr>
                <w:rFonts w:ascii="Times New Roman" w:hAnsi="Times New Roman" w:cs="Times New Roman"/>
                <w:sz w:val="20"/>
                <w:szCs w:val="20"/>
              </w:rPr>
              <w:t>Variables independientes: Nivel de conocimiento de anemia ferropénica, edad materna, estado civil de la madre, grado de instrucción de la madre, sexo del paciente, rango de edad de paciente.</w:t>
            </w:r>
          </w:p>
        </w:tc>
        <w:tc>
          <w:tcPr>
            <w:tcW w:w="2112" w:type="dxa"/>
          </w:tcPr>
          <w:p>
            <w:pPr>
              <w:jc w:val="both"/>
              <w:rPr>
                <w:rFonts w:ascii="Times New Roman" w:hAnsi="Times New Roman" w:cs="Times New Roman"/>
                <w:sz w:val="20"/>
                <w:szCs w:val="20"/>
              </w:rPr>
            </w:pPr>
            <w:r>
              <w:rPr>
                <w:rFonts w:ascii="Times New Roman" w:hAnsi="Times New Roman" w:cs="Times New Roman"/>
                <w:sz w:val="20"/>
                <w:szCs w:val="20"/>
              </w:rPr>
              <w:t>De acuerdo con el enfoque se realizó un estudio cuantitativo, en relación al alcance se realizó un estudio transversal de tipo descriptivo, ya que se analizó la asociación entre dos grupos de pacientes tratando de hallar una relación causa-efecto, en relación a la proyección, es de proyección retrospectiva, puesto se revisaron datos del pasado; observacional, ya que se no presentó intervención ni manipulación de variables.</w:t>
            </w:r>
          </w:p>
        </w:tc>
        <w:tc>
          <w:tcPr>
            <w:tcW w:w="2174" w:type="dxa"/>
          </w:tcPr>
          <w:p>
            <w:pPr>
              <w:jc w:val="both"/>
              <w:rPr>
                <w:rFonts w:ascii="Times New Roman" w:hAnsi="Times New Roman" w:cs="Times New Roman"/>
                <w:sz w:val="22"/>
                <w:szCs w:val="22"/>
              </w:rPr>
            </w:pPr>
            <w:r>
              <w:rPr>
                <w:rFonts w:ascii="Times New Roman" w:hAnsi="Times New Roman" w:cs="Times New Roman"/>
              </w:rPr>
              <w:t>Los datos obtenidos de la ficha de recolección de datos fueron tabulados en el programa de Microsoft Excel, y analizados en el programa STATA V.16,  donde se realizaron los gráficos y tablas correspondientes; para el análisis de los datos se elaboró primeramente un análisis descriptivo de las variables a estudiar, posteriormente se realizó un análisis bivariado y cálculo de chi2 para identificar a las variables que muestran asociación significativa considerando un valor de chi2 &lt;0.005, después se llevó a cabo el análisis mediante la Regresión de Poisson y la medida de asociación Razón de Prevalencia (RP), con un valor de p &lt;0.005 para considerarse significativo y un intervalo de confianza (IC) al 95% el cuál no incluyera la unidad.</w:t>
            </w:r>
          </w:p>
        </w:tc>
      </w:tr>
      <w:bookmarkEnd w:id="54"/>
    </w:tbl>
    <w:p/>
    <w:p/>
    <w:p/>
    <w:p/>
    <w:p/>
    <w:p>
      <w:pPr>
        <w:sectPr>
          <w:pgSz w:w="15840" w:h="12240" w:orient="landscape"/>
          <w:pgMar w:top="1701" w:right="1418" w:bottom="1701" w:left="992" w:header="709" w:footer="709" w:gutter="0"/>
          <w:cols w:space="708" w:num="1"/>
          <w:titlePg/>
          <w:docGrid w:linePitch="360" w:charSpace="0"/>
        </w:sectPr>
      </w:pPr>
    </w:p>
    <w:p>
      <w:pPr>
        <w:pStyle w:val="3"/>
        <w:rPr>
          <w:rFonts w:ascii="Times New Roman" w:hAnsi="Times New Roman" w:cs="Times New Roman"/>
          <w:b/>
          <w:bCs/>
          <w:color w:val="auto"/>
          <w:sz w:val="24"/>
          <w:szCs w:val="24"/>
        </w:rPr>
      </w:pPr>
      <w:bookmarkStart w:id="55" w:name="_Toc145737827"/>
      <w:r>
        <w:rPr>
          <w:rFonts w:ascii="Times New Roman" w:hAnsi="Times New Roman" w:cs="Times New Roman"/>
          <w:b/>
          <w:bCs/>
          <w:color w:val="auto"/>
          <w:sz w:val="24"/>
          <w:szCs w:val="24"/>
        </w:rPr>
        <w:t>ANEXO 8: OPERACIONALIZACION DE VARIABLES</w:t>
      </w:r>
      <w:bookmarkEnd w:id="55"/>
    </w:p>
    <w:p/>
    <w:tbl>
      <w:tblPr>
        <w:tblStyle w:val="6"/>
        <w:tblW w:w="11199" w:type="dxa"/>
        <w:tblInd w:w="-1142" w:type="dxa"/>
        <w:tblLayout w:type="fixed"/>
        <w:tblCellMar>
          <w:top w:w="0" w:type="dxa"/>
          <w:left w:w="108" w:type="dxa"/>
          <w:bottom w:w="0" w:type="dxa"/>
          <w:right w:w="108" w:type="dxa"/>
        </w:tblCellMar>
      </w:tblPr>
      <w:tblGrid>
        <w:gridCol w:w="1521"/>
        <w:gridCol w:w="1740"/>
        <w:gridCol w:w="2126"/>
        <w:gridCol w:w="1701"/>
        <w:gridCol w:w="1276"/>
        <w:gridCol w:w="2835"/>
      </w:tblGrid>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Variable</w:t>
            </w:r>
          </w:p>
        </w:tc>
        <w:tc>
          <w:tcPr>
            <w:tcW w:w="174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Definición conceptual</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Definición operacional</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Tipo de Variable, Relación y naturaleza</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Escala de medición</w:t>
            </w:r>
          </w:p>
        </w:tc>
        <w:tc>
          <w:tcPr>
            <w:tcW w:w="283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Arial" w:cs="Times New Roman"/>
                <w:b/>
                <w:bCs/>
                <w:sz w:val="22"/>
                <w:szCs w:val="22"/>
              </w:rPr>
            </w:pPr>
            <w:r>
              <w:rPr>
                <w:rFonts w:ascii="Times New Roman" w:hAnsi="Times New Roman" w:eastAsia="Arial" w:cs="Times New Roman"/>
                <w:b/>
                <w:bCs/>
                <w:sz w:val="22"/>
                <w:szCs w:val="22"/>
                <w:lang w:val="es-MX"/>
              </w:rPr>
              <w:t>Categoría o Unidad</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Edad</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Cantidad de años transcurridos desde el nacimiento de una persona</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Años de la madre indicados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 xml:space="preserve"> Independiente, Cuantitativa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De razón</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Edad del paciente</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Estado Civil </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Condición de una persona según el registro civil</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Estado civil de la madre indicado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Soltero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1: Casado </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Divorciado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 Conviviente</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de Instrucción</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más elevado de estudios realizados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Grado de instrucción de la madre indicado en la ficha de recolección de datos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0:Sin Instrucción</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1:Primaria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2:Primaria Incompleta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3:Secundaria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4:Secundaria Incompleta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5:Técnico completo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6:Técnico incompleto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7:Universitaria completa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8:Universitaria Incompleta</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Sexo</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Condición orgánica que distingue a las mujeres y hombres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Genero indicado en la historia clínica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0: Femenino</w:t>
            </w:r>
          </w:p>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1: Masculino</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 en meses</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Rango de edad de acuerdo a la edad en meses indicado en la historia clinica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Ordinal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6-11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12-17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18-23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3: 24-29 meses</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4: 30-36 meses</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Nivel de conocimiento sobre anemia ferropénica</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Nivel de Conocimientos sobre el Diagnóstico y Tratamiento de la. Anemia</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Valoración del nivel de conocimiento de acuerdo con el cuestionario aplicado a las madres</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lang w:val="es-MX"/>
              </w:rPr>
              <w:t>Independente,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Bajo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Medio</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2: Alto</w:t>
            </w:r>
          </w:p>
        </w:tc>
      </w:tr>
      <w:tr>
        <w:tblPrEx>
          <w:tblCellMar>
            <w:top w:w="0" w:type="dxa"/>
            <w:left w:w="108" w:type="dxa"/>
            <w:bottom w:w="0" w:type="dxa"/>
            <w:right w:w="108" w:type="dxa"/>
          </w:tblCellMar>
        </w:tblPrEx>
        <w:tc>
          <w:tcPr>
            <w:tcW w:w="152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Respuesta al tratamiento</w:t>
            </w:r>
          </w:p>
        </w:tc>
        <w:tc>
          <w:tcPr>
            <w:tcW w:w="1740"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 xml:space="preserve">Dosaje de hemoglibina en niveles normales al final del tratamiento </w:t>
            </w:r>
          </w:p>
        </w:tc>
        <w:tc>
          <w:tcPr>
            <w:tcW w:w="212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Valoración del ultimo dosaje de hemoglobina en relación al primerio posterior al tratamiento recopilado de la historia clinica</w:t>
            </w:r>
          </w:p>
        </w:tc>
        <w:tc>
          <w:tcPr>
            <w:tcW w:w="1701"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Dependiente, cualitativa</w:t>
            </w:r>
          </w:p>
        </w:tc>
        <w:tc>
          <w:tcPr>
            <w:tcW w:w="1276"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Nominal</w:t>
            </w:r>
          </w:p>
        </w:tc>
        <w:tc>
          <w:tcPr>
            <w:tcW w:w="2835" w:type="dxa"/>
            <w:tcBorders>
              <w:top w:val="single" w:color="auto" w:sz="6" w:space="0"/>
              <w:left w:val="single" w:color="auto" w:sz="6" w:space="0"/>
              <w:bottom w:val="single" w:color="auto" w:sz="6" w:space="0"/>
              <w:right w:val="single" w:color="auto" w:sz="6" w:space="0"/>
            </w:tcBorders>
          </w:tcPr>
          <w:p>
            <w:pPr>
              <w:jc w:val="both"/>
              <w:rPr>
                <w:rFonts w:ascii="Times New Roman" w:hAnsi="Times New Roman" w:eastAsia="Arial" w:cs="Times New Roman"/>
                <w:sz w:val="22"/>
                <w:szCs w:val="22"/>
              </w:rPr>
            </w:pPr>
            <w:r>
              <w:rPr>
                <w:rFonts w:ascii="Times New Roman" w:hAnsi="Times New Roman" w:eastAsia="Arial" w:cs="Times New Roman"/>
                <w:sz w:val="22"/>
                <w:szCs w:val="22"/>
              </w:rPr>
              <w:t>0: Sin respuesta</w:t>
            </w:r>
          </w:p>
          <w:p>
            <w:pPr>
              <w:jc w:val="both"/>
              <w:rPr>
                <w:rFonts w:ascii="Times New Roman" w:hAnsi="Times New Roman" w:eastAsia="Arial" w:cs="Times New Roman"/>
                <w:sz w:val="22"/>
                <w:szCs w:val="22"/>
              </w:rPr>
            </w:pPr>
            <w:r>
              <w:rPr>
                <w:rFonts w:ascii="Times New Roman" w:hAnsi="Times New Roman" w:eastAsia="Arial" w:cs="Times New Roman"/>
                <w:sz w:val="22"/>
                <w:szCs w:val="22"/>
              </w:rPr>
              <w:t>1: Buena respuesta</w:t>
            </w:r>
          </w:p>
        </w:tc>
      </w:tr>
    </w:tbl>
    <w:p>
      <w:pPr>
        <w:pStyle w:val="3"/>
        <w:rPr>
          <w:rFonts w:ascii="Times New Roman" w:hAnsi="Times New Roman" w:cs="Times New Roman"/>
          <w:b/>
          <w:bCs/>
          <w:color w:val="auto"/>
          <w:sz w:val="24"/>
          <w:szCs w:val="24"/>
        </w:rPr>
      </w:pPr>
      <w:bookmarkStart w:id="56" w:name="_Toc145737828"/>
    </w:p>
    <w:p>
      <w:pPr>
        <w:pStyle w:val="3"/>
        <w:rPr>
          <w:rFonts w:ascii="Times New Roman" w:hAnsi="Times New Roman" w:cs="Times New Roman"/>
          <w:b/>
          <w:bCs/>
          <w:color w:val="auto"/>
          <w:sz w:val="24"/>
          <w:szCs w:val="24"/>
        </w:rPr>
      </w:pPr>
      <w:r>
        <w:rPr>
          <w:rFonts w:ascii="Times New Roman" w:hAnsi="Times New Roman" w:cs="Times New Roman"/>
          <w:b/>
          <w:bCs/>
          <w:color w:val="auto"/>
          <w:sz w:val="24"/>
          <w:szCs w:val="24"/>
        </w:rPr>
        <w:t>ANEXO 9: FICHA DE RECOLECCIÓN DE DATOS O INSTRUMENTOS UTILIZADOS</w:t>
      </w:r>
      <w:bookmarkEnd w:id="56"/>
    </w:p>
    <w:p/>
    <w:p>
      <w:pPr>
        <w:rPr>
          <w:rFonts w:ascii="Times New Roman" w:hAnsi="Times New Roman" w:cs="Times New Roman"/>
          <w:b/>
          <w:bCs/>
        </w:rPr>
      </w:pPr>
      <w:r>
        <w:rPr>
          <w:rFonts w:ascii="Times New Roman" w:hAnsi="Times New Roman" w:cs="Times New Roman"/>
          <w:b/>
          <w:bCs/>
        </w:rPr>
        <w:t>FICHA DE RECOLECCION DE DATOS:</w:t>
      </w:r>
    </w:p>
    <w:p>
      <w:pPr>
        <w:rPr>
          <w:rFonts w:ascii="Times New Roman" w:hAnsi="Times New Roman" w:cs="Times New Roman"/>
        </w:rPr>
      </w:pPr>
    </w:p>
    <w:p>
      <w:pPr>
        <w:jc w:val="both"/>
        <w:rPr>
          <w:rFonts w:ascii="Times New Roman" w:hAnsi="Times New Roman" w:eastAsia="Calibri" w:cs="Times New Roman"/>
        </w:rPr>
      </w:pPr>
      <w:r>
        <w:rPr>
          <w:rFonts w:ascii="Times New Roman" w:hAnsi="Times New Roman" w:eastAsia="Calibri" w:cs="Times New Roman"/>
        </w:rPr>
        <w:t xml:space="preserve">Fecha:..................... </w:t>
      </w:r>
    </w:p>
    <w:p>
      <w:pPr>
        <w:jc w:val="both"/>
        <w:rPr>
          <w:rFonts w:ascii="Times New Roman" w:hAnsi="Times New Roman" w:eastAsia="Calibri" w:cs="Times New Roman"/>
        </w:rPr>
      </w:pPr>
    </w:p>
    <w:p>
      <w:pPr>
        <w:jc w:val="both"/>
        <w:rPr>
          <w:rFonts w:ascii="Times New Roman" w:hAnsi="Times New Roman" w:eastAsia="Calibri" w:cs="Times New Roman"/>
          <w:b/>
          <w:bCs/>
        </w:rPr>
      </w:pPr>
      <w:r>
        <w:rPr>
          <w:rFonts w:ascii="Times New Roman" w:hAnsi="Times New Roman" w:eastAsia="Calibri" w:cs="Times New Roman"/>
          <w:b/>
          <w:bCs/>
        </w:rPr>
        <w:t xml:space="preserve">I. INTRODUCCIÓN: </w:t>
      </w:r>
    </w:p>
    <w:p>
      <w:pPr>
        <w:jc w:val="both"/>
        <w:rPr>
          <w:rFonts w:ascii="Times New Roman" w:hAnsi="Times New Roman" w:eastAsia="Calibri" w:cs="Times New Roman"/>
          <w:b/>
          <w:bCs/>
        </w:rPr>
      </w:pPr>
    </w:p>
    <w:p>
      <w:pPr>
        <w:jc w:val="both"/>
        <w:rPr>
          <w:rFonts w:ascii="Times New Roman" w:hAnsi="Times New Roman" w:eastAsia="Calibri" w:cs="Times New Roman"/>
        </w:rPr>
      </w:pPr>
      <w:r>
        <w:rPr>
          <w:rFonts w:ascii="Times New Roman" w:hAnsi="Times New Roman" w:eastAsia="Calibri" w:cs="Times New Roman"/>
        </w:rPr>
        <w:t>Ante todo muy buenos días,  el presente cuestionario es parte del estudio de investigación titulado “</w:t>
      </w:r>
      <w:r>
        <w:rPr>
          <w:rFonts w:ascii="Times New Roman" w:hAnsi="Times New Roman" w:eastAsia="Arial" w:cs="Times New Roman"/>
          <w:color w:val="000000" w:themeColor="text1"/>
          <w14:textFill>
            <w14:solidFill>
              <w14:schemeClr w14:val="tx1"/>
            </w14:solidFill>
          </w14:textFill>
        </w:rPr>
        <w:t>ASOCIACION ENTRE EL NIVEL DE CONOCIMIENTO DE ANEMIA FERROPENICA Y LA RESPUESTA AL TRATAMIENTO EN EL CENTRO MATERNO INFANTIL VILLA MARIA DEL TRIUNFO EN EL CONTEXTO COVID-19 ENTRE MAYO A NOVIEMBRE DEL 2021</w:t>
      </w:r>
      <w:r>
        <w:rPr>
          <w:rFonts w:ascii="Times New Roman" w:hAnsi="Times New Roman" w:eastAsia="Calibri" w:cs="Times New Roman"/>
        </w:rPr>
        <w:t>”, cuyo objetivo es: Determinar el nivel de conocimientos que tienen las madres de niños entre 6 meses a 3 años  que acuden al Centro Materno Infantil Villa María del Triunfo sobre la anemia ferropénica. Los resultados servirán como propuesta para fortalecer los programas de salud del niño relacionados con la anemia. Por lo que se le pide su colaboración, para responder las siguientes preguntas, el cuestionario es anónimo y confidencial, les solicito por ello absoluta sinceridad.</w:t>
      </w:r>
    </w:p>
    <w:p>
      <w:pPr>
        <w:jc w:val="both"/>
        <w:rPr>
          <w:rFonts w:ascii="Arial" w:hAnsi="Arial" w:eastAsia="Calibri" w:cs="Arial"/>
        </w:rPr>
      </w:pPr>
    </w:p>
    <w:p>
      <w:pPr>
        <w:jc w:val="both"/>
        <w:rPr>
          <w:rFonts w:ascii="Arial" w:hAnsi="Arial" w:eastAsia="Calibri" w:cs="Arial"/>
          <w:b/>
          <w:bCs/>
        </w:rPr>
      </w:pPr>
      <w:r>
        <w:rPr>
          <w:rFonts w:ascii="Arial" w:hAnsi="Arial" w:eastAsia="Calibri" w:cs="Arial"/>
          <w:b/>
          <w:bCs/>
        </w:rPr>
        <w:t xml:space="preserve"> II. DATOS GENERALES DE LA MADRE </w:t>
      </w:r>
    </w:p>
    <w:p>
      <w:pPr>
        <w:jc w:val="both"/>
        <w:rPr>
          <w:rFonts w:ascii="Times New Roman" w:hAnsi="Times New Roman" w:eastAsia="Calibri" w:cs="Times New Roman"/>
          <w:sz w:val="22"/>
          <w:szCs w:val="22"/>
        </w:rPr>
      </w:pP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Edad: _________________________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Grado de Instrucción:_____________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Estado civil:</w:t>
      </w:r>
    </w:p>
    <w:p>
      <w:pPr>
        <w:jc w:val="both"/>
        <w:rPr>
          <w:rFonts w:ascii="Times New Roman" w:hAnsi="Times New Roman" w:eastAsia="Calibri" w:cs="Times New Roman"/>
          <w:sz w:val="22"/>
          <w:szCs w:val="22"/>
        </w:rPr>
      </w:pPr>
    </w:p>
    <w:p>
      <w:pPr>
        <w:jc w:val="both"/>
        <w:rPr>
          <w:rFonts w:ascii="Times New Roman" w:hAnsi="Times New Roman" w:eastAsia="Calibri" w:cs="Times New Roman"/>
          <w:b/>
          <w:bCs/>
          <w:sz w:val="22"/>
          <w:szCs w:val="22"/>
        </w:rPr>
      </w:pPr>
      <w:r>
        <w:rPr>
          <w:rFonts w:ascii="Times New Roman" w:hAnsi="Times New Roman" w:eastAsia="Calibri" w:cs="Times New Roman"/>
          <w:b/>
          <w:bCs/>
          <w:sz w:val="22"/>
          <w:szCs w:val="22"/>
        </w:rPr>
        <w:t>III. DATOS DE PACIENTES CON DIAGNOSTICO DE ANEMIA:</w:t>
      </w:r>
    </w:p>
    <w:p>
      <w:pPr>
        <w:jc w:val="both"/>
        <w:rPr>
          <w:rFonts w:ascii="Times New Roman" w:hAnsi="Times New Roman" w:eastAsia="Calibri" w:cs="Times New Roman"/>
          <w:sz w:val="22"/>
          <w:szCs w:val="22"/>
        </w:rPr>
      </w:pPr>
    </w:p>
    <w:p>
      <w:pPr>
        <w:jc w:val="both"/>
        <w:rPr>
          <w:rFonts w:ascii="Times New Roman" w:hAnsi="Times New Roman" w:cs="Times New Roman"/>
          <w:sz w:val="22"/>
          <w:szCs w:val="22"/>
        </w:rPr>
      </w:pPr>
      <w:r>
        <w:rPr>
          <w:rFonts w:ascii="Times New Roman" w:hAnsi="Times New Roman" w:eastAsia="Calibri" w:cs="Times New Roman"/>
          <w:sz w:val="22"/>
          <w:szCs w:val="22"/>
        </w:rPr>
        <w:t>1er dosaje de Hb__________________</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Ultimo Dosaje de Hb__________________</w:t>
      </w:r>
    </w:p>
    <w:p>
      <w:pPr>
        <w:jc w:val="both"/>
        <w:rPr>
          <w:rFonts w:ascii="Times New Roman" w:hAnsi="Times New Roman" w:eastAsia="Calibri" w:cs="Times New Roman"/>
          <w:sz w:val="22"/>
          <w:szCs w:val="22"/>
        </w:rPr>
      </w:pPr>
    </w:p>
    <w:p>
      <w:pPr>
        <w:jc w:val="both"/>
        <w:rPr>
          <w:rFonts w:ascii="Times New Roman" w:hAnsi="Times New Roman" w:eastAsia="Calibri" w:cs="Times New Roman"/>
          <w:b/>
          <w:bCs/>
          <w:sz w:val="22"/>
          <w:szCs w:val="22"/>
        </w:rPr>
      </w:pPr>
      <w:r>
        <w:rPr>
          <w:rFonts w:ascii="Times New Roman" w:hAnsi="Times New Roman" w:eastAsia="Calibri" w:cs="Times New Roman"/>
          <w:b/>
          <w:bCs/>
          <w:sz w:val="22"/>
          <w:szCs w:val="22"/>
        </w:rPr>
        <w:t>III. CONOCIMIENTOS SOBRE LA ANEMIA FERROPENICA</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cada pregunta formulada marque con un aspa (X) la respuesta que usted considera correcta o llene los espacios punteados en el caso que sea necesario. </w:t>
      </w:r>
    </w:p>
    <w:p>
      <w:pPr>
        <w:jc w:val="both"/>
        <w:rPr>
          <w:rFonts w:ascii="Times New Roman" w:hAnsi="Times New Roman" w:eastAsia="Calibri" w:cs="Times New Roman"/>
          <w:sz w:val="22"/>
          <w:szCs w:val="22"/>
        </w:rPr>
      </w:pPr>
      <w:r>
        <w:rPr>
          <w:rFonts w:ascii="Times New Roman" w:hAnsi="Times New Roman" w:eastAsia="Calibri" w:cs="Times New Roman"/>
          <w:i/>
          <w:iCs/>
          <w:sz w:val="22"/>
          <w:szCs w:val="22"/>
        </w:rPr>
        <w:t>1. ¿Según UD. qué es la anemia?</w:t>
      </w:r>
      <w:r>
        <w:rPr>
          <w:rFonts w:ascii="Times New Roman" w:hAnsi="Times New Roman" w:eastAsia="Calibri" w:cs="Times New Roman"/>
          <w:sz w:val="22"/>
          <w:szCs w:val="22"/>
        </w:rPr>
        <w:t xml:space="preserve">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a) Es una enfermedad infecciosa y contagiosa.</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 b) Es una enfermedad donde el niño se pone muy flaco.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 c) Es una enfermedad en la que disminuye la hemoglobina de la sangre.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2. ¿Cuál es el alimento ideal que Ud. daría a un niño durante los 6 primeros meses para evitar la anemia? y ¿Por qué?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Hace Crecer Evita que se Enfermen Aporta todos los Nutrientes.</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 Hace Engordar Favorece La relación Leche de vaca Leche evaporada Leche Materna.</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3. ¿Qué otros alimentos daría Ud. a un niño después de los 6 meses?</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Papillas espesas.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Sopas-Caldos. VI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Solo leche materna.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4. ¿Cuántas veces al día se le da de comer a un niño mayor de 6 meses – 1 año?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a) Dos veces al día.</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 b) Tres veces al día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Cinco veces al día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5. ¿Cuál de los siguientes alimentos se debe dar a los niños y con que frecuencia?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502"/>
        <w:gridCol w:w="1502"/>
        <w:gridCol w:w="1502"/>
        <w:gridCol w:w="150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1 vez por semana</w:t>
            </w:r>
          </w:p>
        </w:tc>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2 veces por semana</w:t>
            </w:r>
          </w:p>
        </w:tc>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3 veces por semana</w:t>
            </w:r>
          </w:p>
        </w:tc>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veces </w:t>
            </w:r>
          </w:p>
        </w:tc>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Nunca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Lentejas</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Habas</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Quinua</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Espinaca</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Perejil</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Frejol</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Pescado</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Sangrecita</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Pollo</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tcPr>
          <w:p>
            <w:pPr>
              <w:jc w:val="both"/>
              <w:rPr>
                <w:rFonts w:ascii="Times New Roman" w:hAnsi="Times New Roman" w:eastAsia="Calibri" w:cs="Times New Roman"/>
                <w:sz w:val="22"/>
                <w:szCs w:val="22"/>
              </w:rPr>
            </w:pPr>
            <w:r>
              <w:rPr>
                <w:rFonts w:ascii="Times New Roman" w:hAnsi="Times New Roman" w:eastAsia="Calibri" w:cs="Times New Roman"/>
                <w:sz w:val="22"/>
                <w:szCs w:val="22"/>
              </w:rPr>
              <w:t>Mariscos</w:t>
            </w: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c>
          <w:tcPr>
            <w:tcW w:w="1502" w:type="dxa"/>
          </w:tcPr>
          <w:p>
            <w:pPr>
              <w:jc w:val="both"/>
              <w:rPr>
                <w:rFonts w:ascii="Times New Roman" w:hAnsi="Times New Roman" w:eastAsia="Calibri" w:cs="Times New Roman"/>
                <w:sz w:val="22"/>
                <w:szCs w:val="22"/>
              </w:rPr>
            </w:pPr>
          </w:p>
        </w:tc>
      </w:tr>
    </w:tbl>
    <w:p>
      <w:pPr>
        <w:jc w:val="both"/>
        <w:rPr>
          <w:rFonts w:ascii="Times New Roman" w:hAnsi="Times New Roman" w:eastAsia="Calibri" w:cs="Times New Roman"/>
          <w:sz w:val="22"/>
          <w:szCs w:val="22"/>
        </w:rPr>
      </w:pP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 6. ¿Conoce usted qué alimentos están aumentados en hierro?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Leche Gloría.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Arroz.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Azúcar.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d) Sémola.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7 ¿Para Ud. cuál de los niños está con más riesgo a sufrir de anemia?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Un bebe de 9 meses.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Un bebe prematuro y de bajo peso al nacer.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Un bebe alimentado con leche materna.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8. ¿Un niño que sufre de anemia, presenta la piel de color: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Rosada.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Pálida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Azulada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9.¿ Sabe usted a qué lugar se debe acudir cuando un niño esta enfermo de anemia?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Llevándolo al consultorio medico, control de crecimiento y desarrollo.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Consultando en la farmacia.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Consultando a la abuelita.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10¿-Qué prueba para confirmar el diagnóstico de la anemia conoce Ud.?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Prueba de colesterol.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Prueba de glucosa.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Prueba de Hemoglobina y hematocrito.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11. ¿Cuál es la causa de la anemia en los niños?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Comer escasos alimentos ricos en grasa.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Comer escasos alimentos ricos en dulces.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Comer escasos alimentos ricos en hierro.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12. ¿Cuál de las siguientes medicinas sirven para el tratamiento de la anemia?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Calcio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Vitaminas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Sulfato ferroso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13. Algunos efectos qué podría observar al tomar preparados de hierro son: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Dolor de estomago, nauseas, diarreas.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Dolor de cabeza, mareos.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Sudor, subida de la presión.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14.¿ Conoce usted que el jugo de naranja ayuda a aprovechar el hierro de los alimentos vegetales o verduras?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SI ( )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NO ( )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15. ¿Los niños con anemia se enferman también de: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a) Palpitaciones.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b) Diarreas y neumonía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c) Nauseas. </w:t>
      </w:r>
    </w:p>
    <w:p>
      <w:pPr>
        <w:jc w:val="both"/>
        <w:rPr>
          <w:rFonts w:ascii="Times New Roman" w:hAnsi="Times New Roman" w:eastAsia="Calibri" w:cs="Times New Roman"/>
          <w:i/>
          <w:iCs/>
          <w:sz w:val="22"/>
          <w:szCs w:val="22"/>
        </w:rPr>
      </w:pPr>
      <w:r>
        <w:rPr>
          <w:rFonts w:ascii="Times New Roman" w:hAnsi="Times New Roman" w:eastAsia="Calibri" w:cs="Times New Roman"/>
          <w:i/>
          <w:iCs/>
          <w:sz w:val="22"/>
          <w:szCs w:val="22"/>
        </w:rPr>
        <w:t xml:space="preserve">16.¿Sabe usted cómo afecta la anemia en el crecimiento y desarrollo del niño?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Se demoran en crecer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 xml:space="preserve">(NO) </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Se demoran en subir de peso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Se demoran en ponerse de pie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Se demoran en caminar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 xml:space="preserve">          </w:t>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Se demoran en hablar</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Disminuye la atención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Times New Roman" w:hAnsi="Times New Roman" w:eastAsia="Calibri" w:cs="Times New Roman"/>
          <w:sz w:val="22"/>
          <w:szCs w:val="22"/>
        </w:rPr>
      </w:pPr>
      <w:r>
        <w:rPr>
          <w:rFonts w:ascii="Times New Roman" w:hAnsi="Times New Roman" w:eastAsia="Calibri" w:cs="Times New Roman"/>
          <w:sz w:val="22"/>
          <w:szCs w:val="22"/>
        </w:rPr>
        <w:t xml:space="preserve">Disminuye el rendimiento escolar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eastAsia="Calibri" w:cs="Times New Roman"/>
          <w:sz w:val="22"/>
          <w:szCs w:val="22"/>
        </w:rPr>
        <w:t>(SI)</w:t>
      </w:r>
      <w:r>
        <w:rPr>
          <w:rFonts w:ascii="Times New Roman" w:hAnsi="Times New Roman" w:cs="Times New Roman"/>
          <w:sz w:val="22"/>
          <w:szCs w:val="22"/>
        </w:rPr>
        <w:tab/>
      </w:r>
      <w:r>
        <w:rPr>
          <w:rFonts w:ascii="Times New Roman" w:hAnsi="Times New Roman" w:eastAsia="Calibri" w:cs="Times New Roman"/>
          <w:sz w:val="22"/>
          <w:szCs w:val="22"/>
        </w:rPr>
        <w:t>(NO)</w:t>
      </w:r>
    </w:p>
    <w:p>
      <w:pPr>
        <w:jc w:val="both"/>
        <w:rPr>
          <w:rFonts w:ascii="Arial" w:hAnsi="Arial" w:eastAsia="Times New Roman" w:cs="Arial"/>
          <w:color w:val="000000" w:themeColor="text1"/>
          <w14:textFill>
            <w14:solidFill>
              <w14:schemeClr w14:val="tx1"/>
            </w14:solidFill>
          </w14:textFill>
        </w:rPr>
      </w:pPr>
    </w:p>
    <w:p>
      <w:pPr>
        <w:jc w:val="both"/>
        <w:rPr>
          <w:rFonts w:ascii="Arial" w:hAnsi="Arial" w:eastAsia="Times New Roman" w:cs="Arial"/>
          <w:color w:val="000000" w:themeColor="text1"/>
          <w14:textFill>
            <w14:solidFill>
              <w14:schemeClr w14:val="tx1"/>
            </w14:solidFill>
          </w14:textFill>
        </w:rPr>
      </w:pPr>
    </w:p>
    <w:p>
      <w:pPr>
        <w:jc w:val="both"/>
        <w:rPr>
          <w:rFonts w:ascii="Arial" w:hAnsi="Arial" w:cs="Arial"/>
        </w:rPr>
      </w:pPr>
    </w:p>
    <w:p/>
    <w:p/>
    <w:p/>
    <w:p/>
    <w:p/>
    <w:p/>
    <w:p/>
    <w:p/>
    <w:p/>
    <w:p/>
    <w:p/>
    <w:p/>
    <w:p/>
    <w:p/>
    <w:p/>
    <w:p/>
    <w:p/>
    <w:p/>
    <w:p/>
    <w:p/>
    <w:p/>
    <w:p/>
    <w:p/>
    <w:p/>
    <w:p/>
    <w:p/>
    <w:p/>
    <w:p/>
    <w:p/>
    <w:p/>
    <w:p/>
    <w:p/>
    <w:p/>
    <w:p/>
    <w:p>
      <w:pPr>
        <w:pStyle w:val="3"/>
        <w:rPr>
          <w:rFonts w:ascii="Times New Roman" w:hAnsi="Times New Roman" w:cs="Times New Roman"/>
          <w:b/>
          <w:bCs/>
          <w:color w:val="auto"/>
          <w:sz w:val="24"/>
          <w:szCs w:val="24"/>
        </w:rPr>
      </w:pPr>
      <w:bookmarkStart w:id="57" w:name="_Toc145737829"/>
      <w:r>
        <w:rPr>
          <w:rFonts w:ascii="Times New Roman" w:hAnsi="Times New Roman" w:cs="Times New Roman"/>
          <w:b/>
          <w:bCs/>
          <w:color w:val="auto"/>
          <w:sz w:val="24"/>
          <w:szCs w:val="24"/>
        </w:rPr>
        <w:t>ANEXO 10: BASES DE DATOS (EXCEL, SPSS), O EL LINK A SU BASE DE DATOS SUBIDA EN EL INICIB-URP.</w:t>
      </w:r>
      <w:bookmarkEnd w:id="57"/>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rPr>
      </w:pPr>
      <w:r>
        <w:rPr>
          <w:rFonts w:ascii="Times New Roman" w:hAnsi="Times New Roman" w:cs="Times New Roman"/>
        </w:rPr>
        <w:t>https://docs.google.com/spreadsheets/d/1J4V_vMIXhbW5MuVDPYmUzs5KFmpRslIK/edit?usp=drive_link&amp;ouid=105498532733386830397&amp;rtpof=true&amp;sd=true</w:t>
      </w: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after="160" w:line="259" w:lineRule="auto"/>
        <w:jc w:val="both"/>
        <w:rPr>
          <w:rFonts w:ascii="Times New Roman" w:hAnsi="Times New Roman" w:cs="Times New Roman"/>
          <w:b/>
          <w:bCs/>
        </w:rPr>
      </w:pPr>
    </w:p>
    <w:p>
      <w:pPr>
        <w:spacing w:line="360" w:lineRule="auto"/>
      </w:pPr>
    </w:p>
    <w:sectPr>
      <w:headerReference r:id="rId9" w:type="default"/>
      <w:footerReference r:id="rId10" w:type="default"/>
      <w:pgSz w:w="12240" w:h="15840"/>
      <w:pgMar w:top="992" w:right="1701" w:bottom="1418" w:left="1701" w:header="709" w:footer="709" w:gutter="0"/>
      <w:pgNumType w:start="52"/>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AMGD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auto"/>
    <w:pitch w:val="default"/>
    <w:sig w:usb0="00000000" w:usb1="00000000" w:usb2="00000000" w:usb3="00000000" w:csb0="0000019F" w:csb1="00000000"/>
  </w:font>
  <w:font w:name="Arial Unicode MS">
    <w:altName w:val="Arial"/>
    <w:panose1 w:val="020B0604020202020204"/>
    <w:charset w:val="80"/>
    <w:family w:val="swiss"/>
    <w:pitch w:val="default"/>
    <w:sig w:usb0="00000000" w:usb1="00000000" w:usb2="0000003F" w:usb3="00000000" w:csb0="003F01F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MGDT">
    <w:panose1 w:val="02000400000000000000"/>
    <w:charset w:val="00"/>
    <w:family w:val="auto"/>
    <w:pitch w:val="default"/>
    <w:sig w:usb0="80000003" w:usb1="1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es-ES"/>
        <w14:textFill>
          <w14:solidFill>
            <w14:schemeClr w14:val="tx1"/>
          </w14:solidFill>
        </w14:textFill>
      </w:rPr>
      <w:t>2</w:t>
    </w:r>
    <w:r>
      <w:rPr>
        <w:caps/>
        <w:color w:val="000000" w:themeColor="text1"/>
        <w14:textFill>
          <w14:solidFill>
            <w14:schemeClr w14:val="tx1"/>
          </w14:solidFill>
        </w14:textFill>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es-ES"/>
        <w14:textFill>
          <w14:solidFill>
            <w14:schemeClr w14:val="tx1"/>
          </w14:solidFill>
        </w14:textFill>
      </w:rPr>
      <w:t>2</w:t>
    </w:r>
    <w:r>
      <w:rPr>
        <w:caps/>
        <w:color w:val="000000" w:themeColor="text1"/>
        <w14:textFill>
          <w14:solidFill>
            <w14:schemeClr w14:val="tx1"/>
          </w14:solidFill>
        </w14:textFill>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4101433"/>
      <w:docPartObj>
        <w:docPartGallery w:val="autotext"/>
      </w:docPartObj>
    </w:sdtPr>
    <w:sdtContent>
      <w:p>
        <w:pPr>
          <w:pStyle w:val="7"/>
          <w:jc w:val="center"/>
        </w:pPr>
        <w:r>
          <w:fldChar w:fldCharType="begin"/>
        </w:r>
        <w:r>
          <w:instrText xml:space="preserve">PAGE   \* MERGEFORMAT</w:instrText>
        </w:r>
        <w:r>
          <w:fldChar w:fldCharType="separate"/>
        </w:r>
        <w:r>
          <w:rPr>
            <w:lang w:val="es-ES"/>
          </w:rPr>
          <w:t>2</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5C1825"/>
    <w:multiLevelType w:val="multilevel"/>
    <w:tmpl w:val="0A5C182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E7227A1"/>
    <w:multiLevelType w:val="multilevel"/>
    <w:tmpl w:val="1E7227A1"/>
    <w:lvl w:ilvl="0" w:tentative="0">
      <w:start w:val="0"/>
      <w:numFmt w:val="bullet"/>
      <w:lvlText w:val="-"/>
      <w:lvlJc w:val="left"/>
      <w:pPr>
        <w:ind w:left="720" w:hanging="360"/>
      </w:pPr>
      <w:rPr>
        <w:rFonts w:hint="default" w:ascii="Arial" w:hAnsi="Arial" w:eastAsia="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BC560D7"/>
    <w:multiLevelType w:val="multilevel"/>
    <w:tmpl w:val="2BC560D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898596A"/>
    <w:multiLevelType w:val="multilevel"/>
    <w:tmpl w:val="3898596A"/>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535F39E6"/>
    <w:multiLevelType w:val="multilevel"/>
    <w:tmpl w:val="535F39E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6517CA9"/>
    <w:multiLevelType w:val="multilevel"/>
    <w:tmpl w:val="66517CA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9AC3091"/>
    <w:multiLevelType w:val="multilevel"/>
    <w:tmpl w:val="69AC30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B992551"/>
    <w:multiLevelType w:val="multilevel"/>
    <w:tmpl w:val="6B992551"/>
    <w:lvl w:ilvl="0" w:tentative="0">
      <w:start w:val="2"/>
      <w:numFmt w:val="bullet"/>
      <w:lvlText w:val="-"/>
      <w:lvlJc w:val="left"/>
      <w:pPr>
        <w:ind w:left="720" w:hanging="360"/>
      </w:pPr>
      <w:rPr>
        <w:rFonts w:hint="default" w:ascii="Arial" w:hAnsi="Arial" w:eastAsia="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6D3490C"/>
    <w:multiLevelType w:val="multilevel"/>
    <w:tmpl w:val="76D3490C"/>
    <w:lvl w:ilvl="0" w:tentative="0">
      <w:start w:val="0"/>
      <w:numFmt w:val="bullet"/>
      <w:lvlText w:val="-"/>
      <w:lvlJc w:val="left"/>
      <w:pPr>
        <w:ind w:left="720" w:hanging="360"/>
      </w:pPr>
      <w:rPr>
        <w:rFonts w:hint="default" w:ascii="Arial" w:hAnsi="Arial" w:eastAsia="Arial"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7"/>
  </w:num>
  <w:num w:numId="3">
    <w:abstractNumId w:val="8"/>
  </w:num>
  <w:num w:numId="4">
    <w:abstractNumId w:val="4"/>
  </w:num>
  <w:num w:numId="5">
    <w:abstractNumId w:val="3"/>
  </w:num>
  <w:num w:numId="6">
    <w:abstractNumId w:val="2"/>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99"/>
    <w:rsid w:val="00061334"/>
    <w:rsid w:val="0008399A"/>
    <w:rsid w:val="00087A86"/>
    <w:rsid w:val="000B4F67"/>
    <w:rsid w:val="000C38EB"/>
    <w:rsid w:val="000D6DAE"/>
    <w:rsid w:val="001276F7"/>
    <w:rsid w:val="0015506E"/>
    <w:rsid w:val="001958B5"/>
    <w:rsid w:val="001A36CD"/>
    <w:rsid w:val="001C3B13"/>
    <w:rsid w:val="001D516E"/>
    <w:rsid w:val="001D7301"/>
    <w:rsid w:val="00210FAF"/>
    <w:rsid w:val="002137D9"/>
    <w:rsid w:val="00235531"/>
    <w:rsid w:val="00253748"/>
    <w:rsid w:val="002562D9"/>
    <w:rsid w:val="00271C75"/>
    <w:rsid w:val="002B0777"/>
    <w:rsid w:val="002B4FD8"/>
    <w:rsid w:val="002F1635"/>
    <w:rsid w:val="002F64EB"/>
    <w:rsid w:val="0030579C"/>
    <w:rsid w:val="0030601A"/>
    <w:rsid w:val="00311752"/>
    <w:rsid w:val="00312167"/>
    <w:rsid w:val="00351AE7"/>
    <w:rsid w:val="0036662D"/>
    <w:rsid w:val="00382BF5"/>
    <w:rsid w:val="00396D84"/>
    <w:rsid w:val="003B6EF2"/>
    <w:rsid w:val="003E1DF6"/>
    <w:rsid w:val="003E57DA"/>
    <w:rsid w:val="00416F59"/>
    <w:rsid w:val="004204E4"/>
    <w:rsid w:val="00421A95"/>
    <w:rsid w:val="004408D8"/>
    <w:rsid w:val="0044100A"/>
    <w:rsid w:val="00461399"/>
    <w:rsid w:val="00471053"/>
    <w:rsid w:val="0049344C"/>
    <w:rsid w:val="004A22F2"/>
    <w:rsid w:val="004A4492"/>
    <w:rsid w:val="004E2AB2"/>
    <w:rsid w:val="004E3F37"/>
    <w:rsid w:val="004F16EF"/>
    <w:rsid w:val="005213D8"/>
    <w:rsid w:val="00533442"/>
    <w:rsid w:val="00551A51"/>
    <w:rsid w:val="0055746F"/>
    <w:rsid w:val="005A1581"/>
    <w:rsid w:val="005D7951"/>
    <w:rsid w:val="005E03F6"/>
    <w:rsid w:val="005F310A"/>
    <w:rsid w:val="006232F4"/>
    <w:rsid w:val="00662AA9"/>
    <w:rsid w:val="006B18DF"/>
    <w:rsid w:val="006C4B8D"/>
    <w:rsid w:val="006C5B92"/>
    <w:rsid w:val="00706918"/>
    <w:rsid w:val="00713F79"/>
    <w:rsid w:val="007227D6"/>
    <w:rsid w:val="00734EFD"/>
    <w:rsid w:val="00742074"/>
    <w:rsid w:val="0076039C"/>
    <w:rsid w:val="007758BF"/>
    <w:rsid w:val="00794978"/>
    <w:rsid w:val="007A1A7A"/>
    <w:rsid w:val="007C5E2B"/>
    <w:rsid w:val="00805B81"/>
    <w:rsid w:val="008143A8"/>
    <w:rsid w:val="008205E4"/>
    <w:rsid w:val="0083614F"/>
    <w:rsid w:val="00840C5B"/>
    <w:rsid w:val="00843720"/>
    <w:rsid w:val="00881869"/>
    <w:rsid w:val="0089758F"/>
    <w:rsid w:val="008B0867"/>
    <w:rsid w:val="008B6B19"/>
    <w:rsid w:val="008D5B33"/>
    <w:rsid w:val="008E28BA"/>
    <w:rsid w:val="008F01AE"/>
    <w:rsid w:val="008F35C5"/>
    <w:rsid w:val="0090305E"/>
    <w:rsid w:val="00914C69"/>
    <w:rsid w:val="00945989"/>
    <w:rsid w:val="009620AF"/>
    <w:rsid w:val="00990678"/>
    <w:rsid w:val="009951AC"/>
    <w:rsid w:val="009953D8"/>
    <w:rsid w:val="009D0899"/>
    <w:rsid w:val="009D16CC"/>
    <w:rsid w:val="00A07C86"/>
    <w:rsid w:val="00A11DBB"/>
    <w:rsid w:val="00A22CB8"/>
    <w:rsid w:val="00A23ED4"/>
    <w:rsid w:val="00A46A53"/>
    <w:rsid w:val="00A6572E"/>
    <w:rsid w:val="00A65DFB"/>
    <w:rsid w:val="00A755DA"/>
    <w:rsid w:val="00A8277F"/>
    <w:rsid w:val="00A85799"/>
    <w:rsid w:val="00AB2B74"/>
    <w:rsid w:val="00AE14D6"/>
    <w:rsid w:val="00B12090"/>
    <w:rsid w:val="00B228E0"/>
    <w:rsid w:val="00B37BE9"/>
    <w:rsid w:val="00B5399F"/>
    <w:rsid w:val="00B633C7"/>
    <w:rsid w:val="00B65696"/>
    <w:rsid w:val="00B951F3"/>
    <w:rsid w:val="00B97ED4"/>
    <w:rsid w:val="00BA299A"/>
    <w:rsid w:val="00BD415B"/>
    <w:rsid w:val="00BE697A"/>
    <w:rsid w:val="00BF3DAD"/>
    <w:rsid w:val="00C15D6C"/>
    <w:rsid w:val="00C8319A"/>
    <w:rsid w:val="00C928A9"/>
    <w:rsid w:val="00CA0885"/>
    <w:rsid w:val="00CB55F9"/>
    <w:rsid w:val="00CE4352"/>
    <w:rsid w:val="00CE5995"/>
    <w:rsid w:val="00D06D73"/>
    <w:rsid w:val="00D070FD"/>
    <w:rsid w:val="00D45CA3"/>
    <w:rsid w:val="00D512A9"/>
    <w:rsid w:val="00D6298F"/>
    <w:rsid w:val="00D73A5D"/>
    <w:rsid w:val="00D77651"/>
    <w:rsid w:val="00D8229B"/>
    <w:rsid w:val="00D94B88"/>
    <w:rsid w:val="00DA405B"/>
    <w:rsid w:val="00DD5EBA"/>
    <w:rsid w:val="00DF61FC"/>
    <w:rsid w:val="00E44977"/>
    <w:rsid w:val="00E545E9"/>
    <w:rsid w:val="00E85220"/>
    <w:rsid w:val="00E94EF0"/>
    <w:rsid w:val="00E95A9A"/>
    <w:rsid w:val="00ED43EB"/>
    <w:rsid w:val="00F16DC1"/>
    <w:rsid w:val="00F2538D"/>
    <w:rsid w:val="00F30F21"/>
    <w:rsid w:val="00F32661"/>
    <w:rsid w:val="00F365F0"/>
    <w:rsid w:val="00F42491"/>
    <w:rsid w:val="00F475D0"/>
    <w:rsid w:val="00F94A02"/>
    <w:rsid w:val="00FC2711"/>
    <w:rsid w:val="00FE4F43"/>
    <w:rsid w:val="08240CFB"/>
    <w:rsid w:val="1BE02EBD"/>
    <w:rsid w:val="1F9054A1"/>
    <w:rsid w:val="5CF55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heme="minorHAnsi" w:hAnsiTheme="minorHAnsi" w:eastAsiaTheme="minorHAnsi" w:cstheme="minorBidi"/>
      <w:sz w:val="24"/>
      <w:szCs w:val="24"/>
      <w:lang w:val="es-PE" w:eastAsia="en-US" w:bidi="ar-SA"/>
    </w:rPr>
  </w:style>
  <w:style w:type="paragraph" w:styleId="2">
    <w:name w:val="heading 1"/>
    <w:basedOn w:val="1"/>
    <w:next w:val="1"/>
    <w:link w:val="23"/>
    <w:qFormat/>
    <w:uiPriority w:val="9"/>
    <w:pPr>
      <w:keepNext/>
      <w:keepLines/>
      <w:spacing w:before="24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24"/>
    <w:unhideWhenUsed/>
    <w:qFormat/>
    <w:uiPriority w:val="9"/>
    <w:pPr>
      <w:keepNext/>
      <w:keepLines/>
      <w:spacing w:before="4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25"/>
    <w:unhideWhenUsed/>
    <w:qFormat/>
    <w:uiPriority w:val="9"/>
    <w:pPr>
      <w:keepNext/>
      <w:keepLines/>
      <w:spacing w:before="40"/>
      <w:outlineLvl w:val="2"/>
    </w:pPr>
    <w:rPr>
      <w:rFonts w:asciiTheme="majorHAnsi" w:hAnsiTheme="majorHAnsi" w:eastAsiaTheme="majorEastAsia" w:cstheme="majorBidi"/>
      <w:color w:val="1F4E79" w:themeColor="accent1" w:themeShade="80"/>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7"/>
    <w:unhideWhenUsed/>
    <w:qFormat/>
    <w:uiPriority w:val="99"/>
    <w:pPr>
      <w:tabs>
        <w:tab w:val="center" w:pos="4252"/>
        <w:tab w:val="right" w:pos="8504"/>
      </w:tabs>
    </w:pPr>
  </w:style>
  <w:style w:type="paragraph" w:styleId="8">
    <w:name w:val="header"/>
    <w:basedOn w:val="1"/>
    <w:link w:val="16"/>
    <w:unhideWhenUsed/>
    <w:qFormat/>
    <w:uiPriority w:val="99"/>
    <w:pPr>
      <w:tabs>
        <w:tab w:val="center" w:pos="4252"/>
        <w:tab w:val="right" w:pos="8504"/>
      </w:tabs>
    </w:pPr>
  </w:style>
  <w:style w:type="paragraph" w:styleId="9">
    <w:name w:val="HTML Preformatted"/>
    <w:basedOn w:val="1"/>
    <w:link w:val="2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eastAsia="es-PE"/>
    </w:rPr>
  </w:style>
  <w:style w:type="character" w:styleId="10">
    <w:name w:val="Hyperlink"/>
    <w:basedOn w:val="5"/>
    <w:unhideWhenUsed/>
    <w:qFormat/>
    <w:uiPriority w:val="99"/>
    <w:rPr>
      <w:color w:val="0563C1" w:themeColor="hyperlink"/>
      <w:u w:val="single"/>
      <w14:textFill>
        <w14:solidFill>
          <w14:schemeClr w14:val="hlink"/>
        </w14:solidFill>
      </w14:textFill>
    </w:rPr>
  </w:style>
  <w:style w:type="table" w:styleId="11">
    <w:name w:val="Table Grid"/>
    <w:basedOn w:val="6"/>
    <w:qFormat/>
    <w:uiPriority w:val="5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oc 1"/>
    <w:basedOn w:val="1"/>
    <w:next w:val="1"/>
    <w:unhideWhenUsed/>
    <w:qFormat/>
    <w:uiPriority w:val="39"/>
    <w:pPr>
      <w:tabs>
        <w:tab w:val="right" w:leader="dot" w:pos="8828"/>
      </w:tabs>
      <w:spacing w:after="100"/>
      <w:jc w:val="both"/>
    </w:pPr>
  </w:style>
  <w:style w:type="paragraph" w:styleId="13">
    <w:name w:val="toc 2"/>
    <w:basedOn w:val="1"/>
    <w:next w:val="1"/>
    <w:unhideWhenUsed/>
    <w:qFormat/>
    <w:uiPriority w:val="39"/>
    <w:pPr>
      <w:spacing w:after="100"/>
      <w:ind w:left="240"/>
    </w:pPr>
  </w:style>
  <w:style w:type="paragraph" w:styleId="14">
    <w:name w:val="toc 3"/>
    <w:basedOn w:val="1"/>
    <w:next w:val="1"/>
    <w:unhideWhenUsed/>
    <w:qFormat/>
    <w:uiPriority w:val="39"/>
    <w:pPr>
      <w:spacing w:after="100"/>
      <w:ind w:left="480"/>
    </w:pPr>
  </w:style>
  <w:style w:type="paragraph" w:customStyle="1" w:styleId="15">
    <w:name w:val="Cuerpo A"/>
    <w:qFormat/>
    <w:uiPriority w:val="0"/>
    <w:pPr>
      <w:spacing w:after="0" w:line="240" w:lineRule="auto"/>
    </w:pPr>
    <w:rPr>
      <w:rFonts w:ascii="Helvetica" w:hAnsi="Helvetica" w:eastAsia="Arial Unicode MS" w:cs="Arial Unicode MS"/>
      <w:color w:val="000000"/>
      <w:sz w:val="22"/>
      <w:szCs w:val="22"/>
      <w:u w:color="000000"/>
      <w:lang w:eastAsia="es-PE" w:bidi="ar-SA"/>
    </w:rPr>
  </w:style>
  <w:style w:type="character" w:customStyle="1" w:styleId="16">
    <w:name w:val="Encabezado Car"/>
    <w:basedOn w:val="5"/>
    <w:link w:val="8"/>
    <w:qFormat/>
    <w:uiPriority w:val="99"/>
    <w:rPr>
      <w:sz w:val="24"/>
      <w:szCs w:val="24"/>
    </w:rPr>
  </w:style>
  <w:style w:type="character" w:customStyle="1" w:styleId="17">
    <w:name w:val="Pie de página Car"/>
    <w:basedOn w:val="5"/>
    <w:link w:val="7"/>
    <w:qFormat/>
    <w:uiPriority w:val="99"/>
    <w:rPr>
      <w:sz w:val="24"/>
      <w:szCs w:val="24"/>
    </w:rPr>
  </w:style>
  <w:style w:type="paragraph" w:customStyle="1" w:styleId="18">
    <w:name w:val="Estilo1"/>
    <w:basedOn w:val="1"/>
    <w:link w:val="19"/>
    <w:qFormat/>
    <w:uiPriority w:val="0"/>
    <w:rPr>
      <w:rFonts w:ascii="Arial" w:hAnsi="Arial"/>
      <w:b/>
      <w:sz w:val="32"/>
      <w:szCs w:val="22"/>
    </w:rPr>
  </w:style>
  <w:style w:type="character" w:customStyle="1" w:styleId="19">
    <w:name w:val="Estilo1 Car"/>
    <w:basedOn w:val="5"/>
    <w:link w:val="18"/>
    <w:qFormat/>
    <w:uiPriority w:val="0"/>
    <w:rPr>
      <w:rFonts w:ascii="Arial" w:hAnsi="Arial"/>
      <w:b/>
      <w:sz w:val="32"/>
    </w:rPr>
  </w:style>
  <w:style w:type="character" w:customStyle="1" w:styleId="20">
    <w:name w:val="HTML con formato previo Car"/>
    <w:basedOn w:val="5"/>
    <w:link w:val="9"/>
    <w:qFormat/>
    <w:uiPriority w:val="99"/>
    <w:rPr>
      <w:rFonts w:ascii="Courier New" w:hAnsi="Courier New" w:eastAsia="Times New Roman" w:cs="Courier New"/>
      <w:sz w:val="20"/>
      <w:szCs w:val="20"/>
      <w:lang w:val="es-PE" w:eastAsia="es-PE"/>
    </w:rPr>
  </w:style>
  <w:style w:type="paragraph" w:customStyle="1" w:styleId="21">
    <w:name w:val="Estilo2"/>
    <w:basedOn w:val="2"/>
    <w:link w:val="22"/>
    <w:qFormat/>
    <w:uiPriority w:val="0"/>
    <w:pPr>
      <w:jc w:val="center"/>
    </w:pPr>
    <w:rPr>
      <w:rFonts w:ascii="Arial" w:hAnsi="Arial"/>
      <w:b/>
      <w:color w:val="000000" w:themeColor="text1"/>
      <w14:textFill>
        <w14:solidFill>
          <w14:schemeClr w14:val="tx1"/>
        </w14:solidFill>
      </w14:textFill>
    </w:rPr>
  </w:style>
  <w:style w:type="character" w:customStyle="1" w:styleId="22">
    <w:name w:val="Estilo2 Car"/>
    <w:basedOn w:val="23"/>
    <w:link w:val="21"/>
    <w:qFormat/>
    <w:uiPriority w:val="0"/>
    <w:rPr>
      <w:rFonts w:ascii="Arial" w:hAnsi="Arial" w:eastAsiaTheme="majorEastAsia" w:cstheme="majorBidi"/>
      <w:b/>
      <w:color w:val="000000" w:themeColor="text1"/>
      <w:sz w:val="32"/>
      <w:szCs w:val="32"/>
      <w14:textFill>
        <w14:solidFill>
          <w14:schemeClr w14:val="tx1"/>
        </w14:solidFill>
      </w14:textFill>
    </w:rPr>
  </w:style>
  <w:style w:type="character" w:customStyle="1" w:styleId="23">
    <w:name w:val="Título 1 Car"/>
    <w:basedOn w:val="5"/>
    <w:link w:val="2"/>
    <w:uiPriority w:val="9"/>
    <w:rPr>
      <w:rFonts w:asciiTheme="majorHAnsi" w:hAnsiTheme="majorHAnsi" w:eastAsiaTheme="majorEastAsia" w:cstheme="majorBidi"/>
      <w:color w:val="2E75B6" w:themeColor="accent1" w:themeShade="BF"/>
      <w:sz w:val="32"/>
      <w:szCs w:val="32"/>
    </w:rPr>
  </w:style>
  <w:style w:type="character" w:customStyle="1" w:styleId="24">
    <w:name w:val="Título 2 Car"/>
    <w:basedOn w:val="5"/>
    <w:link w:val="3"/>
    <w:uiPriority w:val="9"/>
    <w:rPr>
      <w:rFonts w:asciiTheme="majorHAnsi" w:hAnsiTheme="majorHAnsi" w:eastAsiaTheme="majorEastAsia" w:cstheme="majorBidi"/>
      <w:color w:val="2E75B6" w:themeColor="accent1" w:themeShade="BF"/>
      <w:sz w:val="26"/>
      <w:szCs w:val="26"/>
    </w:rPr>
  </w:style>
  <w:style w:type="character" w:customStyle="1" w:styleId="25">
    <w:name w:val="Título 3 Car"/>
    <w:basedOn w:val="5"/>
    <w:link w:val="4"/>
    <w:qFormat/>
    <w:uiPriority w:val="9"/>
    <w:rPr>
      <w:rFonts w:asciiTheme="majorHAnsi" w:hAnsiTheme="majorHAnsi" w:eastAsiaTheme="majorEastAsia" w:cstheme="majorBidi"/>
      <w:color w:val="1F4E79" w:themeColor="accent1" w:themeShade="80"/>
      <w:sz w:val="24"/>
      <w:szCs w:val="24"/>
    </w:rPr>
  </w:style>
  <w:style w:type="paragraph" w:styleId="26">
    <w:name w:val="No Spacing"/>
    <w:qFormat/>
    <w:uiPriority w:val="1"/>
    <w:pPr>
      <w:spacing w:after="0" w:line="240" w:lineRule="auto"/>
    </w:pPr>
    <w:rPr>
      <w:rFonts w:asciiTheme="minorHAnsi" w:hAnsiTheme="minorHAnsi" w:eastAsiaTheme="minorHAnsi" w:cstheme="minorBidi"/>
      <w:sz w:val="24"/>
      <w:szCs w:val="24"/>
      <w:lang w:eastAsia="en-US" w:bidi="ar-SA"/>
    </w:rPr>
  </w:style>
  <w:style w:type="paragraph" w:styleId="27">
    <w:name w:val="List Paragraph"/>
    <w:basedOn w:val="1"/>
    <w:qFormat/>
    <w:uiPriority w:val="34"/>
    <w:pPr>
      <w:spacing w:after="160" w:line="259" w:lineRule="auto"/>
      <w:ind w:left="720"/>
      <w:contextualSpacing/>
    </w:pPr>
    <w:rPr>
      <w:sz w:val="22"/>
      <w:szCs w:val="22"/>
      <w:lang w:val="es-ES"/>
    </w:rPr>
  </w:style>
  <w:style w:type="paragraph" w:customStyle="1" w:styleId="28">
    <w:name w:val="Bibliography"/>
    <w:basedOn w:val="1"/>
    <w:next w:val="1"/>
    <w:unhideWhenUsed/>
    <w:uiPriority w:val="37"/>
    <w:pPr>
      <w:tabs>
        <w:tab w:val="left" w:pos="504"/>
      </w:tabs>
      <w:spacing w:after="240"/>
      <w:ind w:left="504" w:hanging="504"/>
    </w:pPr>
  </w:style>
  <w:style w:type="paragraph" w:customStyle="1" w:styleId="29">
    <w:name w:val="TOC Heading"/>
    <w:basedOn w:val="2"/>
    <w:next w:val="1"/>
    <w:unhideWhenUsed/>
    <w:qFormat/>
    <w:uiPriority w:val="39"/>
    <w:pPr>
      <w:spacing w:line="259" w:lineRule="auto"/>
      <w:outlineLvl w:val="9"/>
    </w:pPr>
    <w:rPr>
      <w:lang w:eastAsia="es-P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ucero\AppData\Local\Microsoft\Windows\INetCache\IE\Z357G61E\BORRAR%20LUCERO%5b1%5d.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ucero\AppData\Local\Microsoft\Windows\INetCache\IE\Z357G61E\BORRAR%20LUCERO%5b1%5d.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ucero\Documents\TRABAJOS\ANDRE\BASE%20DE%20DATO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es-PE" sz="1200">
                <a:solidFill>
                  <a:sysClr val="windowText" lastClr="000000"/>
                </a:solidFill>
                <a:latin typeface="Times New Roman" panose="02020603050405020304" charset="0"/>
                <a:cs typeface="Times New Roman" panose="02020603050405020304" charset="0"/>
              </a:rPr>
              <a:t>NIVEL DE CONOCIMIENTO SOBRE ANEMIA FERROPÉNICA</a:t>
            </a:r>
            <a:endParaRPr lang="es-PE" sz="1200">
              <a:solidFill>
                <a:sysClr val="windowText" lastClr="000000"/>
              </a:solidFill>
              <a:latin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Hoja3!$B$4</c:f>
              <c:strCache>
                <c:ptCount val="1"/>
                <c:pt idx="0">
                  <c:v>Porcentaje</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3"/>
              </a:solidFill>
              <a:ln>
                <a:noFill/>
              </a:ln>
              <a:effectLst>
                <a:outerShdw blurRad="63500" sx="102000" sy="102000" algn="ctr" rotWithShape="0">
                  <a:prstClr val="black">
                    <a:alpha val="20000"/>
                  </a:prstClr>
                </a:outerShdw>
              </a:effectLst>
            </c:spPr>
          </c:dPt>
          <c:dPt>
            <c:idx val="2"/>
            <c:bubble3D val="0"/>
            <c:spPr>
              <a:solidFill>
                <a:schemeClr val="accent5"/>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Hoja3!$A$5:$A$7</c:f>
              <c:strCache>
                <c:ptCount val="3"/>
                <c:pt idx="0">
                  <c:v>Bajo</c:v>
                </c:pt>
                <c:pt idx="1">
                  <c:v>Medio </c:v>
                </c:pt>
                <c:pt idx="2">
                  <c:v>Alto</c:v>
                </c:pt>
              </c:strCache>
            </c:strRef>
          </c:cat>
          <c:val>
            <c:numRef>
              <c:f>Hoja3!$B$5:$B$7</c:f>
              <c:numCache>
                <c:formatCode>0.00%</c:formatCode>
                <c:ptCount val="3"/>
                <c:pt idx="0">
                  <c:v>0.2485</c:v>
                </c:pt>
                <c:pt idx="1">
                  <c:v>0.2249</c:v>
                </c:pt>
                <c:pt idx="2">
                  <c:v>0.5266</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cap="all" baseline="0">
                <a:solidFill>
                  <a:sysClr val="windowText" lastClr="000000"/>
                </a:solidFill>
                <a:latin typeface="Times New Roman" panose="02020603050405020304" charset="0"/>
                <a:ea typeface="+mn-ea"/>
                <a:cs typeface="Times New Roman" panose="02020603050405020304" charset="0"/>
              </a:defRPr>
            </a:pPr>
            <a:r>
              <a:rPr lang="es-PE" sz="1200">
                <a:solidFill>
                  <a:sysClr val="windowText" lastClr="000000"/>
                </a:solidFill>
                <a:latin typeface="Times New Roman" panose="02020603050405020304" charset="0"/>
                <a:cs typeface="Times New Roman" panose="02020603050405020304" charset="0"/>
              </a:rPr>
              <a:t>RESPUESTA AL TRATAMIENTO DE ANÉMIA FERROPÉNICA</a:t>
            </a:r>
            <a:endParaRPr lang="es-PE" sz="1200">
              <a:solidFill>
                <a:sysClr val="windowText" lastClr="000000"/>
              </a:solidFill>
              <a:latin typeface="Times New Roman" panose="02020603050405020304" charset="0"/>
              <a:cs typeface="Times New Roman" panose="02020603050405020304" charset="0"/>
            </a:endParaRPr>
          </a:p>
        </c:rich>
      </c:tx>
      <c:layout>
        <c:manualLayout>
          <c:xMode val="edge"/>
          <c:yMode val="edge"/>
          <c:x val="0.180057986937679"/>
          <c:y val="0.0247678018575851"/>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5"/>
                  <c:y val="-0.0324074074074074"/>
                </c:manualLayout>
              </c:layout>
              <c:tx>
                <c:rich>
                  <a:bodyPr rot="0" spcFirstLastPara="1" vertOverflow="ellipsis" vert="horz" wrap="square" lIns="38100" tIns="19050" rIns="38100" bIns="19050" anchor="ctr" anchorCtr="1">
                    <a:spAutoFit/>
                  </a:bodyPr>
                  <a:lstStyle/>
                  <a:p>
                    <a:fld id="{43c7b7eb-e922-4378-bfbf-dc48851baaf1}" type="CATEGORYNAME">
                      <a:t>[CATEGORY NAME]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5"/>
                  <c:y val="-8.48755627201333e-17"/>
                </c:manualLayout>
              </c:layout>
              <c:tx>
                <c:rich>
                  <a:bodyPr rot="0" spcFirstLastPara="1" vertOverflow="ellipsis" vert="horz" wrap="square" lIns="38100" tIns="19050" rIns="38100" bIns="19050" anchor="ctr" anchorCtr="1">
                    <a:spAutoFit/>
                  </a:bodyPr>
                  <a:lstStyle/>
                  <a:p>
                    <a:fld id="{e77e5965-6525-46de-928f-8973495f58fc}" type="CATEGORYNAME">
                      <a:t>[CATEGORY NAME]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Hoja3!$A$10:$A$11</c:f>
              <c:strCache>
                <c:ptCount val="2"/>
                <c:pt idx="0">
                  <c:v>No</c:v>
                </c:pt>
                <c:pt idx="1">
                  <c:v>Si</c:v>
                </c:pt>
              </c:strCache>
            </c:strRef>
          </c:cat>
          <c:val>
            <c:numRef>
              <c:f>Hoja3!$B$10:$B$11</c:f>
              <c:numCache>
                <c:formatCode>0.00%</c:formatCode>
                <c:ptCount val="2"/>
                <c:pt idx="0">
                  <c:v>0.4024</c:v>
                </c:pt>
                <c:pt idx="1">
                  <c:v>0.5976</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Hoja1!$H$1</c:f>
              <c:strCache>
                <c:ptCount val="1"/>
                <c:pt idx="0">
                  <c:v>PRIMER DOSAJE DE HEMOGLOBINA</c:v>
                </c:pt>
              </c:strCache>
            </c:strRef>
          </c:tx>
          <c:spPr>
            <a:ln w="28575" cap="rnd">
              <a:solidFill>
                <a:schemeClr val="accent1"/>
              </a:solidFill>
              <a:round/>
            </a:ln>
            <a:effectLst/>
          </c:spPr>
          <c:marker>
            <c:symbol val="none"/>
          </c:marker>
          <c:dLbls>
            <c:delete val="1"/>
          </c:dLbls>
          <c:val>
            <c:numRef>
              <c:f>Hoja1!$H$2:$H$170</c:f>
              <c:numCache>
                <c:formatCode>General</c:formatCode>
                <c:ptCount val="169"/>
                <c:pt idx="0">
                  <c:v>6.4</c:v>
                </c:pt>
                <c:pt idx="1">
                  <c:v>7</c:v>
                </c:pt>
                <c:pt idx="2">
                  <c:v>7.1</c:v>
                </c:pt>
                <c:pt idx="3">
                  <c:v>7.2</c:v>
                </c:pt>
                <c:pt idx="4">
                  <c:v>7.2</c:v>
                </c:pt>
                <c:pt idx="5">
                  <c:v>7.7</c:v>
                </c:pt>
                <c:pt idx="6">
                  <c:v>7.8</c:v>
                </c:pt>
                <c:pt idx="7">
                  <c:v>7.9</c:v>
                </c:pt>
                <c:pt idx="8">
                  <c:v>8</c:v>
                </c:pt>
                <c:pt idx="9">
                  <c:v>8</c:v>
                </c:pt>
                <c:pt idx="10">
                  <c:v>8</c:v>
                </c:pt>
                <c:pt idx="11">
                  <c:v>8</c:v>
                </c:pt>
                <c:pt idx="12">
                  <c:v>8</c:v>
                </c:pt>
                <c:pt idx="13">
                  <c:v>8</c:v>
                </c:pt>
                <c:pt idx="14">
                  <c:v>8</c:v>
                </c:pt>
                <c:pt idx="15">
                  <c:v>8</c:v>
                </c:pt>
                <c:pt idx="16">
                  <c:v>8</c:v>
                </c:pt>
                <c:pt idx="17">
                  <c:v>8</c:v>
                </c:pt>
                <c:pt idx="18">
                  <c:v>8</c:v>
                </c:pt>
                <c:pt idx="19">
                  <c:v>8</c:v>
                </c:pt>
                <c:pt idx="20">
                  <c:v>8</c:v>
                </c:pt>
                <c:pt idx="21">
                  <c:v>8.1</c:v>
                </c:pt>
                <c:pt idx="22">
                  <c:v>8.1</c:v>
                </c:pt>
                <c:pt idx="23">
                  <c:v>8.2</c:v>
                </c:pt>
                <c:pt idx="24">
                  <c:v>8.2</c:v>
                </c:pt>
                <c:pt idx="25">
                  <c:v>8.2</c:v>
                </c:pt>
                <c:pt idx="26">
                  <c:v>8.2</c:v>
                </c:pt>
                <c:pt idx="27">
                  <c:v>8.2</c:v>
                </c:pt>
                <c:pt idx="28">
                  <c:v>8.2</c:v>
                </c:pt>
                <c:pt idx="29">
                  <c:v>8.2</c:v>
                </c:pt>
                <c:pt idx="30">
                  <c:v>8.2</c:v>
                </c:pt>
                <c:pt idx="31">
                  <c:v>8.2</c:v>
                </c:pt>
                <c:pt idx="32">
                  <c:v>8.2</c:v>
                </c:pt>
                <c:pt idx="33">
                  <c:v>8.2</c:v>
                </c:pt>
                <c:pt idx="34">
                  <c:v>8.2</c:v>
                </c:pt>
                <c:pt idx="35">
                  <c:v>8.2</c:v>
                </c:pt>
                <c:pt idx="36">
                  <c:v>8.2</c:v>
                </c:pt>
                <c:pt idx="37">
                  <c:v>8.2</c:v>
                </c:pt>
                <c:pt idx="38">
                  <c:v>8.2</c:v>
                </c:pt>
                <c:pt idx="39">
                  <c:v>8.3</c:v>
                </c:pt>
                <c:pt idx="40">
                  <c:v>8.3</c:v>
                </c:pt>
                <c:pt idx="41">
                  <c:v>8.3</c:v>
                </c:pt>
                <c:pt idx="42">
                  <c:v>8.3</c:v>
                </c:pt>
                <c:pt idx="43">
                  <c:v>8.4</c:v>
                </c:pt>
                <c:pt idx="44">
                  <c:v>8.4</c:v>
                </c:pt>
                <c:pt idx="45">
                  <c:v>8.4</c:v>
                </c:pt>
                <c:pt idx="46">
                  <c:v>8.4</c:v>
                </c:pt>
                <c:pt idx="47">
                  <c:v>8.5</c:v>
                </c:pt>
                <c:pt idx="48">
                  <c:v>8.5</c:v>
                </c:pt>
                <c:pt idx="49">
                  <c:v>8.5</c:v>
                </c:pt>
                <c:pt idx="50">
                  <c:v>8.5</c:v>
                </c:pt>
                <c:pt idx="51">
                  <c:v>8.5</c:v>
                </c:pt>
                <c:pt idx="52">
                  <c:v>8.5</c:v>
                </c:pt>
                <c:pt idx="53">
                  <c:v>8.5</c:v>
                </c:pt>
                <c:pt idx="54">
                  <c:v>8.5</c:v>
                </c:pt>
                <c:pt idx="55">
                  <c:v>8.5</c:v>
                </c:pt>
                <c:pt idx="56">
                  <c:v>8.5</c:v>
                </c:pt>
                <c:pt idx="57">
                  <c:v>8.5</c:v>
                </c:pt>
                <c:pt idx="58">
                  <c:v>8.5</c:v>
                </c:pt>
                <c:pt idx="59">
                  <c:v>8.5</c:v>
                </c:pt>
                <c:pt idx="60">
                  <c:v>8.5</c:v>
                </c:pt>
                <c:pt idx="61">
                  <c:v>8.5</c:v>
                </c:pt>
                <c:pt idx="62">
                  <c:v>8.5</c:v>
                </c:pt>
                <c:pt idx="63">
                  <c:v>8.5</c:v>
                </c:pt>
                <c:pt idx="64">
                  <c:v>8.5</c:v>
                </c:pt>
                <c:pt idx="65">
                  <c:v>8.5</c:v>
                </c:pt>
                <c:pt idx="66">
                  <c:v>8.5</c:v>
                </c:pt>
                <c:pt idx="67">
                  <c:v>8.5</c:v>
                </c:pt>
                <c:pt idx="68">
                  <c:v>8.6</c:v>
                </c:pt>
                <c:pt idx="69">
                  <c:v>8.6</c:v>
                </c:pt>
                <c:pt idx="70">
                  <c:v>8.6</c:v>
                </c:pt>
                <c:pt idx="71">
                  <c:v>8.6</c:v>
                </c:pt>
                <c:pt idx="72">
                  <c:v>8.6</c:v>
                </c:pt>
                <c:pt idx="73">
                  <c:v>8.6</c:v>
                </c:pt>
                <c:pt idx="74">
                  <c:v>8.6</c:v>
                </c:pt>
                <c:pt idx="75">
                  <c:v>8.6</c:v>
                </c:pt>
                <c:pt idx="76">
                  <c:v>8.6</c:v>
                </c:pt>
                <c:pt idx="77">
                  <c:v>8.6</c:v>
                </c:pt>
                <c:pt idx="78">
                  <c:v>8.6</c:v>
                </c:pt>
                <c:pt idx="79">
                  <c:v>8.6</c:v>
                </c:pt>
                <c:pt idx="80">
                  <c:v>8.6</c:v>
                </c:pt>
                <c:pt idx="81">
                  <c:v>8.6</c:v>
                </c:pt>
                <c:pt idx="82">
                  <c:v>8.6</c:v>
                </c:pt>
                <c:pt idx="83">
                  <c:v>8.6</c:v>
                </c:pt>
                <c:pt idx="84">
                  <c:v>8.6</c:v>
                </c:pt>
                <c:pt idx="85">
                  <c:v>8.7</c:v>
                </c:pt>
                <c:pt idx="86">
                  <c:v>8.7</c:v>
                </c:pt>
                <c:pt idx="87">
                  <c:v>8.7</c:v>
                </c:pt>
                <c:pt idx="88">
                  <c:v>8.7</c:v>
                </c:pt>
                <c:pt idx="89">
                  <c:v>8.7</c:v>
                </c:pt>
                <c:pt idx="90">
                  <c:v>8.7</c:v>
                </c:pt>
                <c:pt idx="91">
                  <c:v>8.7</c:v>
                </c:pt>
                <c:pt idx="92">
                  <c:v>8.9</c:v>
                </c:pt>
                <c:pt idx="93">
                  <c:v>8.9</c:v>
                </c:pt>
                <c:pt idx="94">
                  <c:v>8.9</c:v>
                </c:pt>
                <c:pt idx="95">
                  <c:v>8.9</c:v>
                </c:pt>
                <c:pt idx="96">
                  <c:v>8.9</c:v>
                </c:pt>
                <c:pt idx="97">
                  <c:v>9</c:v>
                </c:pt>
                <c:pt idx="98">
                  <c:v>9</c:v>
                </c:pt>
                <c:pt idx="99">
                  <c:v>9</c:v>
                </c:pt>
                <c:pt idx="100">
                  <c:v>9</c:v>
                </c:pt>
                <c:pt idx="101">
                  <c:v>9</c:v>
                </c:pt>
                <c:pt idx="102">
                  <c:v>9</c:v>
                </c:pt>
                <c:pt idx="103">
                  <c:v>9</c:v>
                </c:pt>
                <c:pt idx="104">
                  <c:v>9</c:v>
                </c:pt>
                <c:pt idx="105">
                  <c:v>9</c:v>
                </c:pt>
                <c:pt idx="106">
                  <c:v>9</c:v>
                </c:pt>
                <c:pt idx="107">
                  <c:v>9</c:v>
                </c:pt>
                <c:pt idx="108">
                  <c:v>9.2</c:v>
                </c:pt>
                <c:pt idx="109">
                  <c:v>9.2</c:v>
                </c:pt>
                <c:pt idx="110">
                  <c:v>9.2</c:v>
                </c:pt>
                <c:pt idx="111">
                  <c:v>9.2</c:v>
                </c:pt>
                <c:pt idx="112">
                  <c:v>9.2</c:v>
                </c:pt>
                <c:pt idx="113">
                  <c:v>9.2</c:v>
                </c:pt>
                <c:pt idx="114">
                  <c:v>9.3</c:v>
                </c:pt>
                <c:pt idx="115">
                  <c:v>9.3</c:v>
                </c:pt>
                <c:pt idx="116">
                  <c:v>9.3</c:v>
                </c:pt>
                <c:pt idx="117">
                  <c:v>9.3</c:v>
                </c:pt>
                <c:pt idx="118">
                  <c:v>9.3</c:v>
                </c:pt>
                <c:pt idx="119">
                  <c:v>9.4</c:v>
                </c:pt>
                <c:pt idx="120">
                  <c:v>9.4</c:v>
                </c:pt>
                <c:pt idx="121">
                  <c:v>9.4</c:v>
                </c:pt>
                <c:pt idx="122">
                  <c:v>9.4</c:v>
                </c:pt>
                <c:pt idx="123">
                  <c:v>9.4</c:v>
                </c:pt>
                <c:pt idx="124">
                  <c:v>9.5</c:v>
                </c:pt>
                <c:pt idx="125">
                  <c:v>9.5</c:v>
                </c:pt>
                <c:pt idx="126">
                  <c:v>9.5</c:v>
                </c:pt>
                <c:pt idx="127">
                  <c:v>9.6</c:v>
                </c:pt>
                <c:pt idx="128">
                  <c:v>9.7</c:v>
                </c:pt>
                <c:pt idx="129">
                  <c:v>9.7</c:v>
                </c:pt>
                <c:pt idx="130">
                  <c:v>9.7</c:v>
                </c:pt>
                <c:pt idx="131">
                  <c:v>9.8</c:v>
                </c:pt>
                <c:pt idx="132">
                  <c:v>9.8</c:v>
                </c:pt>
                <c:pt idx="133">
                  <c:v>9.8</c:v>
                </c:pt>
                <c:pt idx="134">
                  <c:v>9.8</c:v>
                </c:pt>
                <c:pt idx="135">
                  <c:v>9.8</c:v>
                </c:pt>
                <c:pt idx="136">
                  <c:v>9.8</c:v>
                </c:pt>
                <c:pt idx="137">
                  <c:v>9.8</c:v>
                </c:pt>
                <c:pt idx="138">
                  <c:v>9.8</c:v>
                </c:pt>
                <c:pt idx="139">
                  <c:v>9.8</c:v>
                </c:pt>
                <c:pt idx="140">
                  <c:v>9.9</c:v>
                </c:pt>
                <c:pt idx="141">
                  <c:v>9.9</c:v>
                </c:pt>
                <c:pt idx="142">
                  <c:v>9.9</c:v>
                </c:pt>
                <c:pt idx="143">
                  <c:v>9.9</c:v>
                </c:pt>
                <c:pt idx="144">
                  <c:v>9.9</c:v>
                </c:pt>
                <c:pt idx="145">
                  <c:v>10</c:v>
                </c:pt>
                <c:pt idx="146">
                  <c:v>10</c:v>
                </c:pt>
                <c:pt idx="147">
                  <c:v>10</c:v>
                </c:pt>
                <c:pt idx="148">
                  <c:v>10</c:v>
                </c:pt>
                <c:pt idx="149">
                  <c:v>10</c:v>
                </c:pt>
                <c:pt idx="150">
                  <c:v>10</c:v>
                </c:pt>
                <c:pt idx="151">
                  <c:v>10</c:v>
                </c:pt>
                <c:pt idx="152">
                  <c:v>10</c:v>
                </c:pt>
                <c:pt idx="153">
                  <c:v>10</c:v>
                </c:pt>
                <c:pt idx="154">
                  <c:v>10.1</c:v>
                </c:pt>
                <c:pt idx="155">
                  <c:v>10.1</c:v>
                </c:pt>
                <c:pt idx="156">
                  <c:v>10.1</c:v>
                </c:pt>
                <c:pt idx="157">
                  <c:v>10.1</c:v>
                </c:pt>
                <c:pt idx="158">
                  <c:v>10.2</c:v>
                </c:pt>
                <c:pt idx="159">
                  <c:v>10.2</c:v>
                </c:pt>
                <c:pt idx="160">
                  <c:v>10.2</c:v>
                </c:pt>
                <c:pt idx="161">
                  <c:v>10.2</c:v>
                </c:pt>
                <c:pt idx="162">
                  <c:v>10.5</c:v>
                </c:pt>
                <c:pt idx="163">
                  <c:v>10.5</c:v>
                </c:pt>
                <c:pt idx="164">
                  <c:v>10.6</c:v>
                </c:pt>
                <c:pt idx="165">
                  <c:v>10.7</c:v>
                </c:pt>
                <c:pt idx="166">
                  <c:v>10.7</c:v>
                </c:pt>
                <c:pt idx="167">
                  <c:v>10.9</c:v>
                </c:pt>
                <c:pt idx="168">
                  <c:v>10.8</c:v>
                </c:pt>
              </c:numCache>
            </c:numRef>
          </c:val>
          <c:smooth val="0"/>
        </c:ser>
        <c:ser>
          <c:idx val="1"/>
          <c:order val="1"/>
          <c:tx>
            <c:strRef>
              <c:f>Hoja1!$I$1</c:f>
              <c:strCache>
                <c:ptCount val="1"/>
                <c:pt idx="0">
                  <c:v>ULTIMO DOSAJE DE HEMOGLOBINA</c:v>
                </c:pt>
              </c:strCache>
            </c:strRef>
          </c:tx>
          <c:spPr>
            <a:ln w="28575" cap="rnd">
              <a:solidFill>
                <a:schemeClr val="accent3"/>
              </a:solidFill>
              <a:round/>
            </a:ln>
            <a:effectLst/>
          </c:spPr>
          <c:marker>
            <c:symbol val="none"/>
          </c:marker>
          <c:dLbls>
            <c:delete val="1"/>
          </c:dLbls>
          <c:val>
            <c:numRef>
              <c:f>Hoja1!$I$2:$I$170</c:f>
              <c:numCache>
                <c:formatCode>General</c:formatCode>
                <c:ptCount val="169"/>
                <c:pt idx="0">
                  <c:v>9.7</c:v>
                </c:pt>
                <c:pt idx="1">
                  <c:v>11</c:v>
                </c:pt>
                <c:pt idx="2">
                  <c:v>11.2</c:v>
                </c:pt>
                <c:pt idx="3">
                  <c:v>9.3</c:v>
                </c:pt>
                <c:pt idx="4">
                  <c:v>8.9</c:v>
                </c:pt>
                <c:pt idx="5">
                  <c:v>11.8</c:v>
                </c:pt>
                <c:pt idx="6">
                  <c:v>12</c:v>
                </c:pt>
                <c:pt idx="7">
                  <c:v>9.9</c:v>
                </c:pt>
                <c:pt idx="8">
                  <c:v>11</c:v>
                </c:pt>
                <c:pt idx="9">
                  <c:v>11</c:v>
                </c:pt>
                <c:pt idx="10">
                  <c:v>11</c:v>
                </c:pt>
                <c:pt idx="11">
                  <c:v>11</c:v>
                </c:pt>
                <c:pt idx="12">
                  <c:v>11</c:v>
                </c:pt>
                <c:pt idx="13">
                  <c:v>11</c:v>
                </c:pt>
                <c:pt idx="14">
                  <c:v>11</c:v>
                </c:pt>
                <c:pt idx="15">
                  <c:v>11</c:v>
                </c:pt>
                <c:pt idx="16">
                  <c:v>11.5</c:v>
                </c:pt>
                <c:pt idx="17">
                  <c:v>11.5</c:v>
                </c:pt>
                <c:pt idx="18">
                  <c:v>9.9</c:v>
                </c:pt>
                <c:pt idx="19">
                  <c:v>9.5</c:v>
                </c:pt>
                <c:pt idx="20">
                  <c:v>8.5</c:v>
                </c:pt>
                <c:pt idx="21">
                  <c:v>9.7</c:v>
                </c:pt>
                <c:pt idx="22">
                  <c:v>11.1</c:v>
                </c:pt>
                <c:pt idx="23">
                  <c:v>12.7</c:v>
                </c:pt>
                <c:pt idx="24">
                  <c:v>11</c:v>
                </c:pt>
                <c:pt idx="25">
                  <c:v>11.2</c:v>
                </c:pt>
                <c:pt idx="26">
                  <c:v>11.2</c:v>
                </c:pt>
                <c:pt idx="27">
                  <c:v>9.8</c:v>
                </c:pt>
                <c:pt idx="28">
                  <c:v>9.8</c:v>
                </c:pt>
                <c:pt idx="29">
                  <c:v>9.6</c:v>
                </c:pt>
                <c:pt idx="30">
                  <c:v>9.5</c:v>
                </c:pt>
                <c:pt idx="31">
                  <c:v>9.5</c:v>
                </c:pt>
                <c:pt idx="32">
                  <c:v>9.5</c:v>
                </c:pt>
                <c:pt idx="33">
                  <c:v>9.5</c:v>
                </c:pt>
                <c:pt idx="34">
                  <c:v>9.4</c:v>
                </c:pt>
                <c:pt idx="35">
                  <c:v>9.4</c:v>
                </c:pt>
                <c:pt idx="36">
                  <c:v>11.2</c:v>
                </c:pt>
                <c:pt idx="37">
                  <c:v>11.3</c:v>
                </c:pt>
                <c:pt idx="38">
                  <c:v>11.1</c:v>
                </c:pt>
                <c:pt idx="39">
                  <c:v>11.5</c:v>
                </c:pt>
                <c:pt idx="40">
                  <c:v>10.9</c:v>
                </c:pt>
                <c:pt idx="41">
                  <c:v>10.9</c:v>
                </c:pt>
                <c:pt idx="42">
                  <c:v>8.9</c:v>
                </c:pt>
                <c:pt idx="43">
                  <c:v>10.9</c:v>
                </c:pt>
                <c:pt idx="44">
                  <c:v>9.6</c:v>
                </c:pt>
                <c:pt idx="45">
                  <c:v>9.5</c:v>
                </c:pt>
                <c:pt idx="46">
                  <c:v>10.9</c:v>
                </c:pt>
                <c:pt idx="47">
                  <c:v>11.5</c:v>
                </c:pt>
                <c:pt idx="48">
                  <c:v>11.3</c:v>
                </c:pt>
                <c:pt idx="49">
                  <c:v>9.7</c:v>
                </c:pt>
                <c:pt idx="50">
                  <c:v>9.6</c:v>
                </c:pt>
                <c:pt idx="51">
                  <c:v>9.6</c:v>
                </c:pt>
                <c:pt idx="52">
                  <c:v>9.6</c:v>
                </c:pt>
                <c:pt idx="53">
                  <c:v>9.6</c:v>
                </c:pt>
                <c:pt idx="54">
                  <c:v>9.5</c:v>
                </c:pt>
                <c:pt idx="55">
                  <c:v>9.5</c:v>
                </c:pt>
                <c:pt idx="56">
                  <c:v>9.5</c:v>
                </c:pt>
                <c:pt idx="57">
                  <c:v>9.4</c:v>
                </c:pt>
                <c:pt idx="58">
                  <c:v>9.4</c:v>
                </c:pt>
                <c:pt idx="59">
                  <c:v>9.4</c:v>
                </c:pt>
                <c:pt idx="60">
                  <c:v>11.2</c:v>
                </c:pt>
                <c:pt idx="61">
                  <c:v>11.3</c:v>
                </c:pt>
                <c:pt idx="62">
                  <c:v>9.1</c:v>
                </c:pt>
                <c:pt idx="63">
                  <c:v>9</c:v>
                </c:pt>
                <c:pt idx="64">
                  <c:v>9</c:v>
                </c:pt>
                <c:pt idx="65">
                  <c:v>11.2</c:v>
                </c:pt>
                <c:pt idx="66">
                  <c:v>9</c:v>
                </c:pt>
                <c:pt idx="67">
                  <c:v>8</c:v>
                </c:pt>
                <c:pt idx="68">
                  <c:v>11.4</c:v>
                </c:pt>
                <c:pt idx="69">
                  <c:v>11.3</c:v>
                </c:pt>
                <c:pt idx="70">
                  <c:v>11.3</c:v>
                </c:pt>
                <c:pt idx="71">
                  <c:v>11</c:v>
                </c:pt>
                <c:pt idx="72">
                  <c:v>9.8</c:v>
                </c:pt>
                <c:pt idx="73">
                  <c:v>9.7</c:v>
                </c:pt>
                <c:pt idx="74">
                  <c:v>9.7</c:v>
                </c:pt>
                <c:pt idx="75">
                  <c:v>9.6</c:v>
                </c:pt>
                <c:pt idx="76">
                  <c:v>9.6</c:v>
                </c:pt>
                <c:pt idx="77">
                  <c:v>9.5</c:v>
                </c:pt>
                <c:pt idx="78">
                  <c:v>9.4</c:v>
                </c:pt>
                <c:pt idx="79">
                  <c:v>9.4</c:v>
                </c:pt>
                <c:pt idx="80">
                  <c:v>9.4</c:v>
                </c:pt>
                <c:pt idx="81">
                  <c:v>11.3</c:v>
                </c:pt>
                <c:pt idx="82">
                  <c:v>11.2</c:v>
                </c:pt>
                <c:pt idx="83">
                  <c:v>11.4</c:v>
                </c:pt>
                <c:pt idx="84">
                  <c:v>11.2</c:v>
                </c:pt>
                <c:pt idx="85">
                  <c:v>12</c:v>
                </c:pt>
                <c:pt idx="86">
                  <c:v>11.6</c:v>
                </c:pt>
                <c:pt idx="87">
                  <c:v>11.2</c:v>
                </c:pt>
                <c:pt idx="88">
                  <c:v>9.6</c:v>
                </c:pt>
                <c:pt idx="89">
                  <c:v>9.6</c:v>
                </c:pt>
                <c:pt idx="90">
                  <c:v>9.5</c:v>
                </c:pt>
                <c:pt idx="91">
                  <c:v>9.3</c:v>
                </c:pt>
                <c:pt idx="92">
                  <c:v>11.1</c:v>
                </c:pt>
                <c:pt idx="93">
                  <c:v>11.2</c:v>
                </c:pt>
                <c:pt idx="94">
                  <c:v>11</c:v>
                </c:pt>
                <c:pt idx="95">
                  <c:v>9.8</c:v>
                </c:pt>
                <c:pt idx="96">
                  <c:v>9.7</c:v>
                </c:pt>
                <c:pt idx="97">
                  <c:v>15</c:v>
                </c:pt>
                <c:pt idx="98">
                  <c:v>12</c:v>
                </c:pt>
                <c:pt idx="99">
                  <c:v>11.3</c:v>
                </c:pt>
                <c:pt idx="100">
                  <c:v>11</c:v>
                </c:pt>
                <c:pt idx="101">
                  <c:v>11.2</c:v>
                </c:pt>
                <c:pt idx="102">
                  <c:v>11</c:v>
                </c:pt>
                <c:pt idx="103">
                  <c:v>11</c:v>
                </c:pt>
                <c:pt idx="104">
                  <c:v>9.2</c:v>
                </c:pt>
                <c:pt idx="105">
                  <c:v>9</c:v>
                </c:pt>
                <c:pt idx="106">
                  <c:v>9</c:v>
                </c:pt>
                <c:pt idx="107">
                  <c:v>8</c:v>
                </c:pt>
                <c:pt idx="108">
                  <c:v>11.8</c:v>
                </c:pt>
                <c:pt idx="109">
                  <c:v>11</c:v>
                </c:pt>
                <c:pt idx="110">
                  <c:v>11.2</c:v>
                </c:pt>
                <c:pt idx="111">
                  <c:v>11.3</c:v>
                </c:pt>
                <c:pt idx="112">
                  <c:v>11.2</c:v>
                </c:pt>
                <c:pt idx="113">
                  <c:v>8.2</c:v>
                </c:pt>
                <c:pt idx="114">
                  <c:v>11.4</c:v>
                </c:pt>
                <c:pt idx="115">
                  <c:v>11.2</c:v>
                </c:pt>
                <c:pt idx="116">
                  <c:v>11.4</c:v>
                </c:pt>
                <c:pt idx="117">
                  <c:v>11.2</c:v>
                </c:pt>
                <c:pt idx="118">
                  <c:v>11.4</c:v>
                </c:pt>
                <c:pt idx="119">
                  <c:v>11.8</c:v>
                </c:pt>
                <c:pt idx="120">
                  <c:v>11.6</c:v>
                </c:pt>
                <c:pt idx="121">
                  <c:v>11.2</c:v>
                </c:pt>
                <c:pt idx="122">
                  <c:v>11.5</c:v>
                </c:pt>
                <c:pt idx="123">
                  <c:v>9</c:v>
                </c:pt>
                <c:pt idx="124">
                  <c:v>11.4</c:v>
                </c:pt>
                <c:pt idx="125">
                  <c:v>11.3</c:v>
                </c:pt>
                <c:pt idx="126">
                  <c:v>10.2</c:v>
                </c:pt>
                <c:pt idx="127">
                  <c:v>9.3</c:v>
                </c:pt>
                <c:pt idx="128">
                  <c:v>11.7</c:v>
                </c:pt>
                <c:pt idx="129">
                  <c:v>11.2</c:v>
                </c:pt>
                <c:pt idx="130">
                  <c:v>10.3</c:v>
                </c:pt>
                <c:pt idx="131">
                  <c:v>12.1</c:v>
                </c:pt>
                <c:pt idx="132">
                  <c:v>11</c:v>
                </c:pt>
                <c:pt idx="133">
                  <c:v>10.9</c:v>
                </c:pt>
                <c:pt idx="134">
                  <c:v>11.4</c:v>
                </c:pt>
                <c:pt idx="135">
                  <c:v>11.4</c:v>
                </c:pt>
                <c:pt idx="136">
                  <c:v>11.2</c:v>
                </c:pt>
                <c:pt idx="137">
                  <c:v>10.1</c:v>
                </c:pt>
                <c:pt idx="138">
                  <c:v>10</c:v>
                </c:pt>
                <c:pt idx="139">
                  <c:v>10</c:v>
                </c:pt>
                <c:pt idx="140">
                  <c:v>11.3</c:v>
                </c:pt>
                <c:pt idx="141">
                  <c:v>11.3</c:v>
                </c:pt>
                <c:pt idx="142">
                  <c:v>10</c:v>
                </c:pt>
                <c:pt idx="143">
                  <c:v>9</c:v>
                </c:pt>
                <c:pt idx="144">
                  <c:v>9</c:v>
                </c:pt>
                <c:pt idx="145">
                  <c:v>14</c:v>
                </c:pt>
                <c:pt idx="146">
                  <c:v>12</c:v>
                </c:pt>
                <c:pt idx="147">
                  <c:v>12</c:v>
                </c:pt>
                <c:pt idx="148">
                  <c:v>12</c:v>
                </c:pt>
                <c:pt idx="149">
                  <c:v>12</c:v>
                </c:pt>
                <c:pt idx="150">
                  <c:v>12</c:v>
                </c:pt>
                <c:pt idx="151">
                  <c:v>11.5</c:v>
                </c:pt>
                <c:pt idx="152">
                  <c:v>11.2</c:v>
                </c:pt>
                <c:pt idx="153">
                  <c:v>11</c:v>
                </c:pt>
                <c:pt idx="154">
                  <c:v>11.2</c:v>
                </c:pt>
                <c:pt idx="155">
                  <c:v>11.1</c:v>
                </c:pt>
                <c:pt idx="156">
                  <c:v>11.2</c:v>
                </c:pt>
                <c:pt idx="157">
                  <c:v>11</c:v>
                </c:pt>
                <c:pt idx="158">
                  <c:v>12</c:v>
                </c:pt>
                <c:pt idx="159">
                  <c:v>11.2</c:v>
                </c:pt>
                <c:pt idx="160">
                  <c:v>11.1</c:v>
                </c:pt>
                <c:pt idx="161">
                  <c:v>11</c:v>
                </c:pt>
                <c:pt idx="162">
                  <c:v>15</c:v>
                </c:pt>
                <c:pt idx="163">
                  <c:v>11.9</c:v>
                </c:pt>
                <c:pt idx="164">
                  <c:v>11.5</c:v>
                </c:pt>
                <c:pt idx="165">
                  <c:v>11</c:v>
                </c:pt>
                <c:pt idx="166">
                  <c:v>11.8</c:v>
                </c:pt>
                <c:pt idx="167">
                  <c:v>9.2</c:v>
                </c:pt>
                <c:pt idx="168">
                  <c:v>13</c:v>
                </c:pt>
              </c:numCache>
            </c:numRef>
          </c:val>
          <c:smooth val="0"/>
        </c:ser>
        <c:dLbls>
          <c:showLegendKey val="0"/>
          <c:showVal val="0"/>
          <c:showCatName val="0"/>
          <c:showSerName val="0"/>
          <c:showPercent val="0"/>
          <c:showBubbleSize val="0"/>
        </c:dLbls>
        <c:marker val="0"/>
        <c:smooth val="0"/>
        <c:axId val="822800143"/>
        <c:axId val="309407839"/>
      </c:lineChart>
      <c:catAx>
        <c:axId val="8228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09407839"/>
        <c:crosses val="autoZero"/>
        <c:auto val="1"/>
        <c:lblAlgn val="ctr"/>
        <c:lblOffset val="100"/>
        <c:noMultiLvlLbl val="0"/>
      </c:catAx>
      <c:valAx>
        <c:axId val="309407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822800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1BB9-0420-4345-924B-D91792B8CFA7}">
  <ds:schemaRefs/>
</ds:datastoreItem>
</file>

<file path=docProps/app.xml><?xml version="1.0" encoding="utf-8"?>
<Properties xmlns="http://schemas.openxmlformats.org/officeDocument/2006/extended-properties" xmlns:vt="http://schemas.openxmlformats.org/officeDocument/2006/docPropsVTypes">
  <Template>Normal.dotm</Template>
  <Pages>67</Pages>
  <Words>50502</Words>
  <Characters>277763</Characters>
  <Lines>2314</Lines>
  <Paragraphs>655</Paragraphs>
  <TotalTime>7</TotalTime>
  <ScaleCrop>false</ScaleCrop>
  <LinksUpToDate>false</LinksUpToDate>
  <CharactersWithSpaces>327610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2023-11-02T16:12:00Z</dcterms:created>
  <dc:creator>Jofreh</dc:creator>
  <cp:lastModifiedBy>Usuario</cp:lastModifiedBy>
  <cp:lastPrinted>2023-09-25T04:35:00Z</cp:lastPrinted>
  <dcterms:modified xsi:type="dcterms:W3CDTF">2023-11-02T18:12:03Z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id="GNOTfPg8"/&gt;&lt;style id="http://www.zotero.org/styles/vancouver-superscript" locale="es-ES" hasBibliography="1" bibliographyStyleHasBeenSet="1"/&gt;&lt;prefs&gt;&lt;pref name="fieldType" value="Field"/&gt;&lt;pref na</vt:lpwstr>
  </property>
  <property fmtid="{D5CDD505-2E9C-101B-9397-08002B2CF9AE}" pid="3" name="ZOTERO_PREF_2">
    <vt:lpwstr>me="automaticJournalAbbreviations" value="true"/&gt;&lt;pref name="dontAskDelayCitationUpdates" value="true"/&gt;&lt;/prefs&gt;&lt;/data&gt;</vt:lpwstr>
  </property>
  <property fmtid="{D5CDD505-2E9C-101B-9397-08002B2CF9AE}" pid="4" name="GrammarlyDocumentId">
    <vt:lpwstr>fb228794a3ba9d4988b675524bf85a0aab235e4ced4b9111b1ee3c2cee66b377</vt:lpwstr>
  </property>
  <property fmtid="{D5CDD505-2E9C-101B-9397-08002B2CF9AE}" pid="5" name="KSOProductBuildVer">
    <vt:lpwstr>1033-12.2.0.13266</vt:lpwstr>
  </property>
  <property fmtid="{D5CDD505-2E9C-101B-9397-08002B2CF9AE}" pid="6" name="ICV">
    <vt:lpwstr>386038BEA71D40B082471102A40C3398_13</vt:lpwstr>
  </property>
</Properties>
</file>